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53E" w:rsidRPr="002631AB" w:rsidRDefault="00D9253E" w:rsidP="00D9253E">
      <w:pPr>
        <w:pStyle w:val="Rubrik2"/>
      </w:pPr>
      <w:bookmarkStart w:id="0" w:name="_Toc379810106"/>
      <w:bookmarkStart w:id="1" w:name="_Toc520452057"/>
      <w:r w:rsidRPr="002631AB">
        <w:t>Rutin vid rehabilitering</w:t>
      </w:r>
      <w:bookmarkEnd w:id="0"/>
      <w:r>
        <w:t xml:space="preserve"> </w:t>
      </w:r>
      <w:bookmarkEnd w:id="1"/>
    </w:p>
    <w:p w:rsidR="00D9253E" w:rsidRPr="002631AB" w:rsidRDefault="00D9253E" w:rsidP="00D9253E">
      <w:pPr>
        <w:rPr>
          <w:b/>
        </w:rPr>
      </w:pPr>
      <w:r w:rsidRPr="002631AB">
        <w:t xml:space="preserve">Denna rutin ska säkerhetsställa att tidiga och strukturerade insatser görs vid behov av rehabilitering. Den kan användas som en checklista. 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1073"/>
        <w:gridCol w:w="3490"/>
        <w:gridCol w:w="4759"/>
      </w:tblGrid>
      <w:tr w:rsidR="00D9253E" w:rsidRPr="002631AB" w:rsidTr="00AC3B3D">
        <w:tc>
          <w:tcPr>
            <w:tcW w:w="1073" w:type="dxa"/>
            <w:shd w:val="clear" w:color="auto" w:fill="D3E3F0" w:themeFill="accent1" w:themeFillTint="66"/>
          </w:tcPr>
          <w:p w:rsidR="00D9253E" w:rsidRPr="002631AB" w:rsidRDefault="00D9253E" w:rsidP="00AC3B3D">
            <w:pPr>
              <w:rPr>
                <w:b/>
              </w:rPr>
            </w:pPr>
            <w:r w:rsidRPr="002631AB">
              <w:rPr>
                <w:b/>
              </w:rPr>
              <w:t>När</w:t>
            </w:r>
          </w:p>
        </w:tc>
        <w:tc>
          <w:tcPr>
            <w:tcW w:w="3490" w:type="dxa"/>
            <w:shd w:val="clear" w:color="auto" w:fill="D3E3F0" w:themeFill="accent1" w:themeFillTint="66"/>
          </w:tcPr>
          <w:p w:rsidR="00D9253E" w:rsidRPr="002631AB" w:rsidRDefault="00D9253E" w:rsidP="00AC3B3D">
            <w:pPr>
              <w:rPr>
                <w:b/>
              </w:rPr>
            </w:pPr>
            <w:r w:rsidRPr="002631AB">
              <w:rPr>
                <w:b/>
              </w:rPr>
              <w:t>Vad</w:t>
            </w:r>
          </w:p>
        </w:tc>
        <w:tc>
          <w:tcPr>
            <w:tcW w:w="4759" w:type="dxa"/>
            <w:shd w:val="clear" w:color="auto" w:fill="D3E3F0" w:themeFill="accent1" w:themeFillTint="66"/>
          </w:tcPr>
          <w:p w:rsidR="00D9253E" w:rsidRPr="002631AB" w:rsidRDefault="00D9253E" w:rsidP="00AC3B3D">
            <w:pPr>
              <w:rPr>
                <w:b/>
              </w:rPr>
            </w:pPr>
            <w:r w:rsidRPr="002631AB">
              <w:rPr>
                <w:b/>
              </w:rPr>
              <w:t xml:space="preserve">Hur </w:t>
            </w:r>
          </w:p>
        </w:tc>
      </w:tr>
      <w:tr w:rsidR="00D9253E" w:rsidRPr="002631AB" w:rsidTr="00AC3B3D">
        <w:tc>
          <w:tcPr>
            <w:tcW w:w="1073" w:type="dxa"/>
            <w:shd w:val="clear" w:color="auto" w:fill="FFFFFF" w:themeFill="background1"/>
          </w:tcPr>
          <w:p w:rsidR="00D9253E" w:rsidRPr="002631AB" w:rsidRDefault="00D9253E" w:rsidP="00AC3B3D">
            <w:r>
              <w:t>Tidiga signaler</w:t>
            </w:r>
          </w:p>
        </w:tc>
        <w:tc>
          <w:tcPr>
            <w:tcW w:w="3490" w:type="dxa"/>
          </w:tcPr>
          <w:p w:rsidR="00D9253E" w:rsidRPr="002631AB" w:rsidRDefault="00D9253E" w:rsidP="00AC3B3D">
            <w:r>
              <w:t>Ta kontakt med medarbetaren och genomför ett samtal</w:t>
            </w:r>
          </w:p>
        </w:tc>
        <w:tc>
          <w:tcPr>
            <w:tcW w:w="4759" w:type="dxa"/>
          </w:tcPr>
          <w:p w:rsidR="00D9253E" w:rsidRPr="002631AB" w:rsidRDefault="00D9253E" w:rsidP="00AC3B3D">
            <w:r>
              <w:t xml:space="preserve">Ha ett första samtal med medarbetaren om de uppmärksammade tidigare signalerna. Det kan till exempel vara upprepad korttidsfrånvaro. Följ upp löpande. </w:t>
            </w:r>
          </w:p>
        </w:tc>
      </w:tr>
      <w:tr w:rsidR="00D9253E" w:rsidRPr="002631AB" w:rsidTr="00AC3B3D">
        <w:tc>
          <w:tcPr>
            <w:tcW w:w="1073" w:type="dxa"/>
            <w:shd w:val="clear" w:color="auto" w:fill="FFFFFF" w:themeFill="background1"/>
          </w:tcPr>
          <w:p w:rsidR="00D9253E" w:rsidRPr="002631AB" w:rsidRDefault="00D9253E" w:rsidP="00AC3B3D">
            <w:r w:rsidRPr="002631AB">
              <w:t xml:space="preserve">Dag </w:t>
            </w:r>
            <w:proofErr w:type="gramStart"/>
            <w:r w:rsidRPr="002631AB">
              <w:t>1 -</w:t>
            </w:r>
            <w:r>
              <w:t>14</w:t>
            </w:r>
            <w:proofErr w:type="gramEnd"/>
          </w:p>
        </w:tc>
        <w:tc>
          <w:tcPr>
            <w:tcW w:w="3490" w:type="dxa"/>
          </w:tcPr>
          <w:p w:rsidR="00D9253E" w:rsidRPr="002631AB" w:rsidRDefault="00D9253E" w:rsidP="00AC3B3D">
            <w:r w:rsidRPr="002631AB">
              <w:t>Ta reda på orsak till sjukfrånvaro</w:t>
            </w:r>
            <w:r>
              <w:t xml:space="preserve"> och bedöm arbetsförmågan</w:t>
            </w:r>
          </w:p>
          <w:p w:rsidR="00D9253E" w:rsidRPr="002631AB" w:rsidRDefault="00D9253E" w:rsidP="00AC3B3D">
            <w:r w:rsidRPr="002631AB">
              <w:t xml:space="preserve">Möjlighet till läkarintyg finns, se avsnitt 6. </w:t>
            </w:r>
          </w:p>
        </w:tc>
        <w:tc>
          <w:tcPr>
            <w:tcW w:w="4759" w:type="dxa"/>
          </w:tcPr>
          <w:p w:rsidR="00D9253E" w:rsidRDefault="00D9253E" w:rsidP="00AC3B3D">
            <w:r w:rsidRPr="002631AB">
              <w:t xml:space="preserve">Ta kontakt med medarbetaren om den själv inte meddelar orsak vid sjukanmälan. Undersök om orsak till sjukfrånvaron är arbetsrelaterad. </w:t>
            </w:r>
            <w:r>
              <w:t xml:space="preserve">Chef ska bedöma </w:t>
            </w:r>
            <w:r w:rsidRPr="001824A2">
              <w:rPr>
                <w:color w:val="auto"/>
              </w:rPr>
              <w:t>medarbetarens arbetsförmåga under dag 1 – 7 och 8 – 14, för att se om denne har rätt till sjuklön samt om alternativa arbetsuppgifter kan erbjudas</w:t>
            </w:r>
            <w:r>
              <w:rPr>
                <w:color w:val="auto"/>
              </w:rPr>
              <w:t>.</w:t>
            </w:r>
            <w:r w:rsidRPr="002631AB">
              <w:t xml:space="preserve"> </w:t>
            </w:r>
          </w:p>
          <w:p w:rsidR="00D9253E" w:rsidRDefault="00D9253E" w:rsidP="00AC3B3D">
            <w:r w:rsidRPr="002631AB">
              <w:t>Bedöm</w:t>
            </w:r>
            <w:r>
              <w:t xml:space="preserve"> även</w:t>
            </w:r>
            <w:r w:rsidRPr="002631AB">
              <w:t xml:space="preserve"> om frånvaron kan b</w:t>
            </w:r>
            <w:r>
              <w:t>li långvarig (mer än 60 dagar</w:t>
            </w:r>
            <w:r w:rsidRPr="002631AB">
              <w:t>). Om det finns risk att sjukfrånvaron</w:t>
            </w:r>
            <w:r>
              <w:t xml:space="preserve"> kommer att pågå under mer än 60 dagar från sjukperiodens första dag ska en plan för återgång till arbete göras senast dag 30 i sjukperioden.</w:t>
            </w:r>
          </w:p>
          <w:p w:rsidR="00D9253E" w:rsidRPr="002631AB" w:rsidRDefault="00D9253E" w:rsidP="00AC3B3D">
            <w:r>
              <w:t xml:space="preserve">Kontrollera att sjukfrånvaron är registrerad i HR systemet. </w:t>
            </w:r>
          </w:p>
        </w:tc>
      </w:tr>
      <w:tr w:rsidR="00D9253E" w:rsidRPr="002631AB" w:rsidTr="00AC3B3D">
        <w:tc>
          <w:tcPr>
            <w:tcW w:w="1073" w:type="dxa"/>
            <w:shd w:val="clear" w:color="auto" w:fill="FFFFFF" w:themeFill="background1"/>
          </w:tcPr>
          <w:p w:rsidR="00D9253E" w:rsidRPr="002631AB" w:rsidRDefault="00D9253E" w:rsidP="00AC3B3D">
            <w:r w:rsidRPr="002631AB">
              <w:t>Dag 8</w:t>
            </w:r>
          </w:p>
        </w:tc>
        <w:tc>
          <w:tcPr>
            <w:tcW w:w="3490" w:type="dxa"/>
          </w:tcPr>
          <w:p w:rsidR="00D9253E" w:rsidRPr="002631AB" w:rsidRDefault="00D9253E" w:rsidP="00AC3B3D">
            <w:r w:rsidRPr="002631AB">
              <w:t xml:space="preserve">Krav på läkarintyg </w:t>
            </w:r>
          </w:p>
        </w:tc>
        <w:tc>
          <w:tcPr>
            <w:tcW w:w="4759" w:type="dxa"/>
          </w:tcPr>
          <w:p w:rsidR="00D9253E" w:rsidRPr="002631AB" w:rsidRDefault="00D9253E" w:rsidP="00AC3B3D">
            <w:r w:rsidRPr="002631AB">
              <w:t xml:space="preserve">Medarbetaren ska i första hand vända sig till primärvården för att få läkarintyg. </w:t>
            </w:r>
            <w:r>
              <w:t xml:space="preserve">Intyget sparas under pågående sjukfall och förvaras inlåst. </w:t>
            </w:r>
          </w:p>
        </w:tc>
      </w:tr>
      <w:tr w:rsidR="00D9253E" w:rsidRPr="002631AB" w:rsidTr="00AC3B3D">
        <w:tc>
          <w:tcPr>
            <w:tcW w:w="1073" w:type="dxa"/>
            <w:shd w:val="clear" w:color="auto" w:fill="FFFFFF" w:themeFill="background1"/>
          </w:tcPr>
          <w:p w:rsidR="00D9253E" w:rsidRPr="002631AB" w:rsidRDefault="00D9253E" w:rsidP="00AC3B3D">
            <w:r>
              <w:t>Senast dag 30</w:t>
            </w:r>
          </w:p>
        </w:tc>
        <w:tc>
          <w:tcPr>
            <w:tcW w:w="3490" w:type="dxa"/>
          </w:tcPr>
          <w:p w:rsidR="00D9253E" w:rsidRPr="002631AB" w:rsidRDefault="00D9253E" w:rsidP="00AC3B3D">
            <w:r>
              <w:t>Plan för återgång i arbete</w:t>
            </w:r>
          </w:p>
          <w:p w:rsidR="00D9253E" w:rsidRPr="002631AB" w:rsidRDefault="00D9253E" w:rsidP="00AC3B3D"/>
        </w:tc>
        <w:tc>
          <w:tcPr>
            <w:tcW w:w="4759" w:type="dxa"/>
          </w:tcPr>
          <w:p w:rsidR="00D9253E" w:rsidRPr="002631AB" w:rsidRDefault="00D9253E" w:rsidP="00AC3B3D">
            <w:r>
              <w:t>Genomför ett rehabiliteringsmöte med medarbetaren för</w:t>
            </w:r>
            <w:r w:rsidRPr="002631AB">
              <w:t xml:space="preserve"> att göra en </w:t>
            </w:r>
            <w:r>
              <w:t>plan för</w:t>
            </w:r>
            <w:r w:rsidRPr="002631AB">
              <w:t xml:space="preserve"> återgång till arbete</w:t>
            </w:r>
            <w:r>
              <w:t xml:space="preserve">. Använd mall på Försäkringskassans hemsida.  </w:t>
            </w:r>
          </w:p>
        </w:tc>
      </w:tr>
      <w:tr w:rsidR="00D9253E" w:rsidRPr="002631AB" w:rsidTr="00AC3B3D">
        <w:tc>
          <w:tcPr>
            <w:tcW w:w="1073" w:type="dxa"/>
            <w:shd w:val="clear" w:color="auto" w:fill="FFFFFF" w:themeFill="background1"/>
          </w:tcPr>
          <w:p w:rsidR="00D9253E" w:rsidRPr="002631AB" w:rsidRDefault="00D9253E" w:rsidP="00AC3B3D">
            <w:r w:rsidRPr="002631AB">
              <w:t xml:space="preserve">Löpande </w:t>
            </w:r>
          </w:p>
        </w:tc>
        <w:tc>
          <w:tcPr>
            <w:tcW w:w="3490" w:type="dxa"/>
          </w:tcPr>
          <w:p w:rsidR="00D9253E" w:rsidRPr="002631AB" w:rsidRDefault="00D9253E" w:rsidP="00AC3B3D">
            <w:r w:rsidRPr="002631AB">
              <w:t xml:space="preserve">Följ upp </w:t>
            </w:r>
            <w:r>
              <w:t>planen för återgång till arbete</w:t>
            </w:r>
          </w:p>
          <w:p w:rsidR="00D9253E" w:rsidRPr="002631AB" w:rsidRDefault="00D9253E" w:rsidP="00AC3B3D">
            <w:r w:rsidRPr="002631AB">
              <w:t xml:space="preserve"> </w:t>
            </w:r>
          </w:p>
        </w:tc>
        <w:tc>
          <w:tcPr>
            <w:tcW w:w="4759" w:type="dxa"/>
          </w:tcPr>
          <w:p w:rsidR="00D9253E" w:rsidRPr="002631AB" w:rsidRDefault="00D9253E" w:rsidP="00AC3B3D">
            <w:r w:rsidRPr="002631AB">
              <w:t xml:space="preserve">Löpande avstämningar enligt överenskommelse med medarbetaren. Justera i </w:t>
            </w:r>
            <w:r>
              <w:t>planen</w:t>
            </w:r>
            <w:r w:rsidRPr="002631AB">
              <w:t xml:space="preserve"> vid behov. Samverka med övriga aktörer. </w:t>
            </w:r>
            <w:r>
              <w:t>Använd mall för dokumentation.</w:t>
            </w:r>
          </w:p>
        </w:tc>
      </w:tr>
      <w:tr w:rsidR="00D9253E" w:rsidRPr="002631AB" w:rsidTr="00AC3B3D">
        <w:tc>
          <w:tcPr>
            <w:tcW w:w="1073" w:type="dxa"/>
            <w:shd w:val="clear" w:color="auto" w:fill="FFFFFF" w:themeFill="background1"/>
          </w:tcPr>
          <w:p w:rsidR="00D9253E" w:rsidRPr="002631AB" w:rsidRDefault="00D9253E" w:rsidP="00AC3B3D">
            <w:r w:rsidRPr="002631AB">
              <w:lastRenderedPageBreak/>
              <w:t xml:space="preserve">Avslut </w:t>
            </w:r>
          </w:p>
        </w:tc>
        <w:tc>
          <w:tcPr>
            <w:tcW w:w="3490" w:type="dxa"/>
          </w:tcPr>
          <w:p w:rsidR="00D9253E" w:rsidRPr="002631AB" w:rsidRDefault="00D9253E" w:rsidP="00AC3B3D">
            <w:r w:rsidRPr="002631AB">
              <w:t xml:space="preserve">Avslut av rehabiliteringsutredning när: </w:t>
            </w:r>
          </w:p>
          <w:p w:rsidR="00D9253E" w:rsidRPr="002631AB" w:rsidRDefault="00D9253E" w:rsidP="00D9253E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631AB">
              <w:rPr>
                <w:rFonts w:ascii="Arial" w:hAnsi="Arial" w:cs="Arial"/>
              </w:rPr>
              <w:t>Arbetstagaren återgår till ordinarie arbete</w:t>
            </w:r>
            <w:r>
              <w:rPr>
                <w:rFonts w:ascii="Arial" w:hAnsi="Arial" w:cs="Arial"/>
              </w:rPr>
              <w:t>.</w:t>
            </w:r>
          </w:p>
          <w:p w:rsidR="00D9253E" w:rsidRPr="002631AB" w:rsidRDefault="00D9253E" w:rsidP="00D9253E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631AB">
              <w:rPr>
                <w:rFonts w:ascii="Arial" w:hAnsi="Arial" w:cs="Arial"/>
              </w:rPr>
              <w:t xml:space="preserve">Arbetstagaren beviljas rätt till hel sjukersättning </w:t>
            </w:r>
          </w:p>
          <w:p w:rsidR="00D9253E" w:rsidRPr="002631AB" w:rsidRDefault="00D9253E" w:rsidP="00AC3B3D">
            <w:pPr>
              <w:spacing w:after="0" w:line="240" w:lineRule="auto"/>
            </w:pPr>
          </w:p>
        </w:tc>
        <w:tc>
          <w:tcPr>
            <w:tcW w:w="4759" w:type="dxa"/>
          </w:tcPr>
          <w:p w:rsidR="00D9253E" w:rsidRPr="002631AB" w:rsidRDefault="00D9253E" w:rsidP="00AC3B3D">
            <w:r w:rsidRPr="002631AB">
              <w:t>Avslut ska ske formellt och dokumenteras. Det görs via ett möte med samtliga parter där resultat och åtgärder redovisas.</w:t>
            </w:r>
            <w:r>
              <w:t xml:space="preserve"> Använd mall för avslut av rehabiliteringsutredning.</w:t>
            </w:r>
          </w:p>
          <w:p w:rsidR="00D9253E" w:rsidRPr="002631AB" w:rsidRDefault="00D9253E" w:rsidP="00AC3B3D">
            <w:r w:rsidRPr="002631AB">
              <w:t>Om en arbetstagare får hel sjukersättning har arbetsgivaren rätt att avsluta anställningen (se 33</w:t>
            </w:r>
            <w:r>
              <w:t xml:space="preserve"> </w:t>
            </w:r>
            <w:r w:rsidRPr="002631AB">
              <w:t xml:space="preserve">§ LAS). </w:t>
            </w:r>
          </w:p>
        </w:tc>
      </w:tr>
      <w:tr w:rsidR="00D9253E" w:rsidRPr="002631AB" w:rsidTr="00AC3B3D">
        <w:tc>
          <w:tcPr>
            <w:tcW w:w="1073" w:type="dxa"/>
            <w:shd w:val="clear" w:color="auto" w:fill="FFFFFF" w:themeFill="background1"/>
          </w:tcPr>
          <w:p w:rsidR="00D9253E" w:rsidRPr="002631AB" w:rsidRDefault="00D9253E" w:rsidP="00AC3B3D">
            <w:r w:rsidRPr="002631AB">
              <w:t>Snarast efter avslut</w:t>
            </w:r>
          </w:p>
        </w:tc>
        <w:tc>
          <w:tcPr>
            <w:tcW w:w="3490" w:type="dxa"/>
          </w:tcPr>
          <w:p w:rsidR="00D9253E" w:rsidRPr="002631AB" w:rsidRDefault="00D9253E" w:rsidP="00AC3B3D">
            <w:r w:rsidRPr="002631AB">
              <w:t>Om arbetstagaren inte kan återgå till ordinarie</w:t>
            </w:r>
            <w:r>
              <w:t xml:space="preserve"> </w:t>
            </w:r>
            <w:r w:rsidRPr="002631AB">
              <w:t xml:space="preserve">arbete görs en omplaceringsutredning </w:t>
            </w:r>
          </w:p>
        </w:tc>
        <w:tc>
          <w:tcPr>
            <w:tcW w:w="4759" w:type="dxa"/>
          </w:tcPr>
          <w:p w:rsidR="00D9253E" w:rsidRPr="002631AB" w:rsidRDefault="00D9253E" w:rsidP="00AC3B3D">
            <w:r w:rsidRPr="002631AB">
              <w:t xml:space="preserve">Om det konstateras att medarbetaren stadigvarande inte kan återgå till ordinarie arbete helt eller delvis ska en omplaceringsutredning göras. Kontakta alltid </w:t>
            </w:r>
            <w:r>
              <w:t>HR-</w:t>
            </w:r>
            <w:r w:rsidRPr="002631AB">
              <w:t>konsult.</w:t>
            </w:r>
          </w:p>
        </w:tc>
      </w:tr>
    </w:tbl>
    <w:p w:rsidR="001E0305" w:rsidRPr="001E0305" w:rsidRDefault="001E0305" w:rsidP="001E0305">
      <w:pPr>
        <w:pStyle w:val="Normalutanavstnd"/>
        <w:rPr>
          <w:lang w:eastAsia="sv-SE"/>
        </w:rPr>
      </w:pPr>
    </w:p>
    <w:sectPr w:rsidR="001E0305" w:rsidRPr="001E0305" w:rsidSect="001E0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1701" w:bottom="1701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305" w:rsidRDefault="001E0305" w:rsidP="008453F1">
      <w:pPr>
        <w:spacing w:line="240" w:lineRule="auto"/>
      </w:pPr>
      <w:r>
        <w:separator/>
      </w:r>
    </w:p>
  </w:endnote>
  <w:endnote w:type="continuationSeparator" w:id="0">
    <w:p w:rsidR="001E0305" w:rsidRDefault="001E0305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53E" w:rsidRDefault="00D925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53E" w:rsidRDefault="00D9253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20"/>
    </w:tblGrid>
    <w:tr w:rsidR="00561154" w:rsidTr="00A123CB">
      <w:tc>
        <w:tcPr>
          <w:tcW w:w="6946" w:type="dxa"/>
          <w:vAlign w:val="bottom"/>
        </w:tcPr>
        <w:p w:rsidR="001E0305" w:rsidRPr="00173152" w:rsidRDefault="001E0305" w:rsidP="001E0305">
          <w:pPr>
            <w:pStyle w:val="Sidfot"/>
            <w:jc w:val="left"/>
          </w:pPr>
          <w:bookmarkStart w:id="3" w:name="xxFörvaltningSidfot"/>
          <w:bookmarkStart w:id="4" w:name="xxAddress"/>
          <w:bookmarkEnd w:id="3"/>
          <w:r w:rsidRPr="00173152">
            <w:t xml:space="preserve">Tibro kommun, 543 80 TIBRO, </w:t>
          </w:r>
          <w:bookmarkStart w:id="5" w:name="xxyyFörvaltning"/>
          <w:bookmarkEnd w:id="5"/>
          <w:r>
            <w:t>Kommunledningskontoret</w:t>
          </w:r>
          <w:r w:rsidRPr="00173152">
            <w:t xml:space="preserve">, </w:t>
          </w:r>
          <w:r w:rsidRPr="00173152">
            <w:rPr>
              <w:i/>
            </w:rPr>
            <w:t>Besöksadress:</w:t>
          </w:r>
          <w:r w:rsidRPr="00173152">
            <w:t xml:space="preserve"> </w:t>
          </w:r>
          <w:bookmarkStart w:id="6" w:name="xxyyBesöksadress"/>
          <w:bookmarkEnd w:id="6"/>
          <w:r>
            <w:t>Centrumgatan 17</w:t>
          </w:r>
        </w:p>
        <w:p w:rsidR="001E0305" w:rsidRDefault="001E0305" w:rsidP="001E0305">
          <w:pPr>
            <w:pStyle w:val="Sidfot"/>
            <w:jc w:val="left"/>
          </w:pPr>
          <w:r>
            <w:rPr>
              <w:i/>
            </w:rPr>
            <w:t xml:space="preserve">E-post: </w:t>
          </w:r>
          <w:r>
            <w:t xml:space="preserve">kommun@tibro.se, </w:t>
          </w:r>
          <w:bookmarkStart w:id="7" w:name="xxWWW"/>
          <w:r>
            <w:t>www.tibro.se</w:t>
          </w:r>
          <w:bookmarkEnd w:id="7"/>
          <w:r>
            <w:t xml:space="preserve">, </w:t>
          </w:r>
          <w:r>
            <w:rPr>
              <w:i/>
            </w:rPr>
            <w:t xml:space="preserve">Växel: </w:t>
          </w:r>
          <w:r>
            <w:t>0504-180 00</w:t>
          </w:r>
          <w:bookmarkStart w:id="8" w:name="xxyyFaxTabort"/>
          <w:r>
            <w:t xml:space="preserve"> </w:t>
          </w:r>
          <w:bookmarkStart w:id="9" w:name="xxyyFax"/>
          <w:bookmarkEnd w:id="8"/>
          <w:bookmarkEnd w:id="9"/>
        </w:p>
        <w:p w:rsidR="001E0305" w:rsidRDefault="001E0305" w:rsidP="001E0305">
          <w:pPr>
            <w:pStyle w:val="Sidfot"/>
            <w:jc w:val="left"/>
          </w:pPr>
          <w:r w:rsidRPr="00F428D3">
            <w:rPr>
              <w:i/>
            </w:rPr>
            <w:t>Handläggare:</w:t>
          </w:r>
          <w:r w:rsidRPr="00F428D3">
            <w:t xml:space="preserve"> </w:t>
          </w:r>
          <w:bookmarkStart w:id="10" w:name="xxyyHandläggare"/>
          <w:bookmarkEnd w:id="10"/>
          <w:r>
            <w:t>Kommunledningskontoret</w:t>
          </w:r>
          <w:r w:rsidRPr="00F428D3">
            <w:t xml:space="preserve">, </w:t>
          </w:r>
          <w:bookmarkStart w:id="11" w:name="xxyyEmail"/>
          <w:bookmarkEnd w:id="11"/>
          <w:r>
            <w:t>kommun@tibro.se</w:t>
          </w:r>
          <w:r w:rsidRPr="00F428D3">
            <w:t xml:space="preserve">, </w:t>
          </w:r>
          <w:r w:rsidRPr="009F0E86">
            <w:rPr>
              <w:i/>
            </w:rPr>
            <w:t>Tel:</w:t>
          </w:r>
          <w:r w:rsidRPr="00ED7138">
            <w:t xml:space="preserve"> </w:t>
          </w:r>
          <w:bookmarkStart w:id="12" w:name="xxAddressPhone"/>
          <w:bookmarkEnd w:id="12"/>
          <w:r>
            <w:t>0504-181 00</w:t>
          </w:r>
          <w:r w:rsidRPr="00F428D3">
            <w:t xml:space="preserve"> </w:t>
          </w:r>
          <w:bookmarkStart w:id="13" w:name="xxyyDirTel"/>
          <w:bookmarkEnd w:id="13"/>
        </w:p>
        <w:p w:rsidR="0040660B" w:rsidRDefault="001E0305" w:rsidP="001E0305">
          <w:pPr>
            <w:pStyle w:val="Sidfot"/>
            <w:jc w:val="left"/>
          </w:pPr>
          <w:r w:rsidRPr="005B63EB">
            <w:rPr>
              <w:i/>
            </w:rPr>
            <w:t>GLN-kod:</w:t>
          </w:r>
          <w:r>
            <w:t xml:space="preserve"> </w:t>
          </w:r>
          <w:proofErr w:type="gramStart"/>
          <w:r>
            <w:t>7350025810003</w:t>
          </w:r>
          <w:proofErr w:type="gramEnd"/>
          <w:r>
            <w:t xml:space="preserve">, </w:t>
          </w:r>
          <w:proofErr w:type="spellStart"/>
          <w:r w:rsidRPr="005B63EB">
            <w:rPr>
              <w:i/>
            </w:rPr>
            <w:t>Peppol</w:t>
          </w:r>
          <w:proofErr w:type="spellEnd"/>
          <w:r w:rsidRPr="005B63EB">
            <w:rPr>
              <w:i/>
            </w:rPr>
            <w:t>-ID:</w:t>
          </w:r>
          <w:r>
            <w:t xml:space="preserve"> 0007:2120001660</w:t>
          </w:r>
          <w:bookmarkEnd w:id="4"/>
          <w:r w:rsidR="0040660B">
            <w:t xml:space="preserve"> </w:t>
          </w:r>
          <w:bookmarkStart w:id="14" w:name="xxDirTel"/>
          <w:bookmarkEnd w:id="14"/>
          <w:r w:rsidR="0040660B">
            <w:t xml:space="preserve">  </w:t>
          </w:r>
        </w:p>
      </w:tc>
      <w:tc>
        <w:tcPr>
          <w:tcW w:w="2920" w:type="dxa"/>
          <w:vAlign w:val="bottom"/>
        </w:tcPr>
        <w:p w:rsidR="00561154" w:rsidRDefault="00477FD8" w:rsidP="00A123CB">
          <w:pPr>
            <w:pStyle w:val="Sidfot"/>
          </w:pPr>
          <w:r>
            <w:rPr>
              <w:noProof/>
            </w:rPr>
            <w:drawing>
              <wp:inline distT="0" distB="0" distL="0" distR="0" wp14:anchorId="039EDF09" wp14:editId="74145084">
                <wp:extent cx="1092501" cy="360000"/>
                <wp:effectExtent l="0" t="0" r="0" b="2540"/>
                <wp:docPr id="5" name="Bildobjekt 5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5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  <w:bookmarkStart w:id="15" w:name="_GoBack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05" w:rsidRDefault="001E0305" w:rsidP="008453F1">
      <w:pPr>
        <w:spacing w:line="240" w:lineRule="auto"/>
      </w:pPr>
      <w:r>
        <w:separator/>
      </w:r>
    </w:p>
  </w:footnote>
  <w:footnote w:type="continuationSeparator" w:id="0">
    <w:p w:rsidR="001E0305" w:rsidRDefault="001E0305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53E" w:rsidRDefault="00D925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4566C19E" wp14:editId="279C405D">
                <wp:extent cx="308571" cy="360000"/>
                <wp:effectExtent l="0" t="0" r="0" b="2540"/>
                <wp:docPr id="7" name="Bildobjekt 7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7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3C224EBF" wp14:editId="1F20E1C0">
                <wp:extent cx="377952" cy="356616"/>
                <wp:effectExtent l="0" t="0" r="3175" b="5715"/>
                <wp:docPr id="1" name="Bildobjekt 1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1E0305" w:rsidP="00014173">
          <w:pPr>
            <w:pStyle w:val="Sidhuvud"/>
            <w:tabs>
              <w:tab w:val="right" w:pos="3822"/>
            </w:tabs>
            <w:spacing w:before="160"/>
          </w:pPr>
          <w:bookmarkStart w:id="2" w:name="xxFörvaltning"/>
          <w:bookmarkEnd w:id="2"/>
          <w:r>
            <w:t>Kommunledningskontoret</w:t>
          </w:r>
        </w:p>
      </w:tc>
      <w:tc>
        <w:tcPr>
          <w:tcW w:w="822" w:type="dxa"/>
        </w:tcPr>
        <w:p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5E093116" wp14:editId="6B047755">
                <wp:extent cx="308571" cy="360000"/>
                <wp:effectExtent l="0" t="0" r="0" b="2540"/>
                <wp:docPr id="2" name="Bildobjekt 2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i sidhuvu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7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2C3533F9"/>
    <w:multiLevelType w:val="hybridMultilevel"/>
    <w:tmpl w:val="88E40E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3D87C14"/>
    <w:multiLevelType w:val="hybridMultilevel"/>
    <w:tmpl w:val="E208F634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1" w15:restartNumberingAfterBreak="0">
    <w:nsid w:val="7E7803CF"/>
    <w:multiLevelType w:val="hybridMultilevel"/>
    <w:tmpl w:val="7C346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05"/>
    <w:rsid w:val="00004D83"/>
    <w:rsid w:val="00012A62"/>
    <w:rsid w:val="00014173"/>
    <w:rsid w:val="00022CEE"/>
    <w:rsid w:val="000241EE"/>
    <w:rsid w:val="00032EB5"/>
    <w:rsid w:val="000365B4"/>
    <w:rsid w:val="000373F8"/>
    <w:rsid w:val="00040301"/>
    <w:rsid w:val="0004652C"/>
    <w:rsid w:val="00051427"/>
    <w:rsid w:val="000566A6"/>
    <w:rsid w:val="00065707"/>
    <w:rsid w:val="00097CCD"/>
    <w:rsid w:val="000A2C01"/>
    <w:rsid w:val="000A3C21"/>
    <w:rsid w:val="000B6BD5"/>
    <w:rsid w:val="000C029B"/>
    <w:rsid w:val="000C2800"/>
    <w:rsid w:val="000C4C78"/>
    <w:rsid w:val="000C6CF1"/>
    <w:rsid w:val="000E7725"/>
    <w:rsid w:val="000F2DC6"/>
    <w:rsid w:val="00111513"/>
    <w:rsid w:val="0013272C"/>
    <w:rsid w:val="0013697C"/>
    <w:rsid w:val="00140360"/>
    <w:rsid w:val="0014634D"/>
    <w:rsid w:val="00171482"/>
    <w:rsid w:val="00174D9C"/>
    <w:rsid w:val="00175CA2"/>
    <w:rsid w:val="00180240"/>
    <w:rsid w:val="00193395"/>
    <w:rsid w:val="001A36A4"/>
    <w:rsid w:val="001B6B30"/>
    <w:rsid w:val="001E0305"/>
    <w:rsid w:val="001E497E"/>
    <w:rsid w:val="001E57CF"/>
    <w:rsid w:val="001E5A4D"/>
    <w:rsid w:val="001F6CE5"/>
    <w:rsid w:val="002059D7"/>
    <w:rsid w:val="00205C9F"/>
    <w:rsid w:val="00213B44"/>
    <w:rsid w:val="0023027D"/>
    <w:rsid w:val="00241369"/>
    <w:rsid w:val="002437CB"/>
    <w:rsid w:val="002519DB"/>
    <w:rsid w:val="002521D9"/>
    <w:rsid w:val="0025486C"/>
    <w:rsid w:val="00273E91"/>
    <w:rsid w:val="002861FA"/>
    <w:rsid w:val="00286D8B"/>
    <w:rsid w:val="002A54DA"/>
    <w:rsid w:val="002A6AF2"/>
    <w:rsid w:val="002B06BD"/>
    <w:rsid w:val="002D2298"/>
    <w:rsid w:val="002D277B"/>
    <w:rsid w:val="002D5CE0"/>
    <w:rsid w:val="002E262C"/>
    <w:rsid w:val="002E5F1D"/>
    <w:rsid w:val="002F701E"/>
    <w:rsid w:val="0031302F"/>
    <w:rsid w:val="00326F3D"/>
    <w:rsid w:val="00330621"/>
    <w:rsid w:val="003424CE"/>
    <w:rsid w:val="003474A9"/>
    <w:rsid w:val="0035470D"/>
    <w:rsid w:val="003603BF"/>
    <w:rsid w:val="003670A5"/>
    <w:rsid w:val="00376F2A"/>
    <w:rsid w:val="00382A73"/>
    <w:rsid w:val="00397CDB"/>
    <w:rsid w:val="003A22F0"/>
    <w:rsid w:val="003A520D"/>
    <w:rsid w:val="003B447D"/>
    <w:rsid w:val="003D4F90"/>
    <w:rsid w:val="003F13CA"/>
    <w:rsid w:val="003F5BCA"/>
    <w:rsid w:val="003F6440"/>
    <w:rsid w:val="0040003F"/>
    <w:rsid w:val="0040660B"/>
    <w:rsid w:val="00411542"/>
    <w:rsid w:val="00412A5C"/>
    <w:rsid w:val="00413513"/>
    <w:rsid w:val="0041487A"/>
    <w:rsid w:val="00420792"/>
    <w:rsid w:val="004216C8"/>
    <w:rsid w:val="00422226"/>
    <w:rsid w:val="0042712B"/>
    <w:rsid w:val="00427CDB"/>
    <w:rsid w:val="0043087E"/>
    <w:rsid w:val="00432A2D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84AFA"/>
    <w:rsid w:val="005941BA"/>
    <w:rsid w:val="005A391A"/>
    <w:rsid w:val="005A395A"/>
    <w:rsid w:val="005B6363"/>
    <w:rsid w:val="005B71A0"/>
    <w:rsid w:val="005C42F6"/>
    <w:rsid w:val="005C540D"/>
    <w:rsid w:val="005E30B9"/>
    <w:rsid w:val="005E5C84"/>
    <w:rsid w:val="005E6483"/>
    <w:rsid w:val="005E654A"/>
    <w:rsid w:val="005E706D"/>
    <w:rsid w:val="005F152C"/>
    <w:rsid w:val="005F3A6A"/>
    <w:rsid w:val="006079DC"/>
    <w:rsid w:val="006217FC"/>
    <w:rsid w:val="00622046"/>
    <w:rsid w:val="006227CF"/>
    <w:rsid w:val="00630DAC"/>
    <w:rsid w:val="00631620"/>
    <w:rsid w:val="006339E7"/>
    <w:rsid w:val="00654AA1"/>
    <w:rsid w:val="0066456E"/>
    <w:rsid w:val="00674B19"/>
    <w:rsid w:val="0069279F"/>
    <w:rsid w:val="0069303A"/>
    <w:rsid w:val="00694CB2"/>
    <w:rsid w:val="006A1BBA"/>
    <w:rsid w:val="006A345E"/>
    <w:rsid w:val="006A7B6B"/>
    <w:rsid w:val="006B45CB"/>
    <w:rsid w:val="006B4677"/>
    <w:rsid w:val="006C2846"/>
    <w:rsid w:val="006D2DA7"/>
    <w:rsid w:val="006E3CAA"/>
    <w:rsid w:val="007053F3"/>
    <w:rsid w:val="00706BD2"/>
    <w:rsid w:val="00707887"/>
    <w:rsid w:val="007134A2"/>
    <w:rsid w:val="00721F2A"/>
    <w:rsid w:val="00726ED0"/>
    <w:rsid w:val="0073443A"/>
    <w:rsid w:val="00747A92"/>
    <w:rsid w:val="007535AC"/>
    <w:rsid w:val="00757EBB"/>
    <w:rsid w:val="00785FD9"/>
    <w:rsid w:val="00790629"/>
    <w:rsid w:val="00792503"/>
    <w:rsid w:val="007A5355"/>
    <w:rsid w:val="007B2FCF"/>
    <w:rsid w:val="007C1511"/>
    <w:rsid w:val="007D31B5"/>
    <w:rsid w:val="007D5293"/>
    <w:rsid w:val="007E771B"/>
    <w:rsid w:val="00801399"/>
    <w:rsid w:val="008049AB"/>
    <w:rsid w:val="008111F0"/>
    <w:rsid w:val="00844BD2"/>
    <w:rsid w:val="008453F1"/>
    <w:rsid w:val="00850E58"/>
    <w:rsid w:val="0085755C"/>
    <w:rsid w:val="00864877"/>
    <w:rsid w:val="008720E8"/>
    <w:rsid w:val="00880C1E"/>
    <w:rsid w:val="00891619"/>
    <w:rsid w:val="00897510"/>
    <w:rsid w:val="008A375F"/>
    <w:rsid w:val="008E29AB"/>
    <w:rsid w:val="008E5480"/>
    <w:rsid w:val="00904887"/>
    <w:rsid w:val="00907455"/>
    <w:rsid w:val="009111FA"/>
    <w:rsid w:val="0091299F"/>
    <w:rsid w:val="00925B02"/>
    <w:rsid w:val="009319F5"/>
    <w:rsid w:val="009341D3"/>
    <w:rsid w:val="00961561"/>
    <w:rsid w:val="00966CCC"/>
    <w:rsid w:val="00993BD0"/>
    <w:rsid w:val="009A07F0"/>
    <w:rsid w:val="009A615A"/>
    <w:rsid w:val="009B6610"/>
    <w:rsid w:val="009C32A0"/>
    <w:rsid w:val="009C6FF1"/>
    <w:rsid w:val="009C77F0"/>
    <w:rsid w:val="009E3549"/>
    <w:rsid w:val="009F3E95"/>
    <w:rsid w:val="00A01592"/>
    <w:rsid w:val="00A0215C"/>
    <w:rsid w:val="00A123CB"/>
    <w:rsid w:val="00A460F1"/>
    <w:rsid w:val="00A46220"/>
    <w:rsid w:val="00A54EBF"/>
    <w:rsid w:val="00A6793E"/>
    <w:rsid w:val="00A80CE1"/>
    <w:rsid w:val="00A81710"/>
    <w:rsid w:val="00A95D9B"/>
    <w:rsid w:val="00A96A57"/>
    <w:rsid w:val="00AA1068"/>
    <w:rsid w:val="00AA1E4E"/>
    <w:rsid w:val="00AA4E07"/>
    <w:rsid w:val="00AB041E"/>
    <w:rsid w:val="00AC017E"/>
    <w:rsid w:val="00AC46E5"/>
    <w:rsid w:val="00AD4FE4"/>
    <w:rsid w:val="00AF43CB"/>
    <w:rsid w:val="00B11866"/>
    <w:rsid w:val="00B3160C"/>
    <w:rsid w:val="00B3314F"/>
    <w:rsid w:val="00B33628"/>
    <w:rsid w:val="00B42DB4"/>
    <w:rsid w:val="00B54E91"/>
    <w:rsid w:val="00B6388E"/>
    <w:rsid w:val="00B75562"/>
    <w:rsid w:val="00B82242"/>
    <w:rsid w:val="00B92795"/>
    <w:rsid w:val="00B928F3"/>
    <w:rsid w:val="00BC14C0"/>
    <w:rsid w:val="00BE238C"/>
    <w:rsid w:val="00BE279D"/>
    <w:rsid w:val="00BE5B9D"/>
    <w:rsid w:val="00BF2DB9"/>
    <w:rsid w:val="00C03DFA"/>
    <w:rsid w:val="00C047D7"/>
    <w:rsid w:val="00C14C4D"/>
    <w:rsid w:val="00C16ABE"/>
    <w:rsid w:val="00C2658D"/>
    <w:rsid w:val="00C342F1"/>
    <w:rsid w:val="00C3460D"/>
    <w:rsid w:val="00C41F0E"/>
    <w:rsid w:val="00C43C68"/>
    <w:rsid w:val="00C51F2A"/>
    <w:rsid w:val="00C52A3F"/>
    <w:rsid w:val="00C6249A"/>
    <w:rsid w:val="00C65FC8"/>
    <w:rsid w:val="00C81B55"/>
    <w:rsid w:val="00C83670"/>
    <w:rsid w:val="00C90E98"/>
    <w:rsid w:val="00CA75E8"/>
    <w:rsid w:val="00CD69FF"/>
    <w:rsid w:val="00CE6C96"/>
    <w:rsid w:val="00CF186C"/>
    <w:rsid w:val="00CF706F"/>
    <w:rsid w:val="00D05979"/>
    <w:rsid w:val="00D13722"/>
    <w:rsid w:val="00D15E02"/>
    <w:rsid w:val="00D176EC"/>
    <w:rsid w:val="00D21F8E"/>
    <w:rsid w:val="00D22D49"/>
    <w:rsid w:val="00D2308F"/>
    <w:rsid w:val="00D27F42"/>
    <w:rsid w:val="00D3318B"/>
    <w:rsid w:val="00D37C89"/>
    <w:rsid w:val="00D43B89"/>
    <w:rsid w:val="00D67746"/>
    <w:rsid w:val="00D763C8"/>
    <w:rsid w:val="00D81381"/>
    <w:rsid w:val="00D9253E"/>
    <w:rsid w:val="00D94FF2"/>
    <w:rsid w:val="00DA26A9"/>
    <w:rsid w:val="00DB17E9"/>
    <w:rsid w:val="00DB24BE"/>
    <w:rsid w:val="00DB7E98"/>
    <w:rsid w:val="00DE360B"/>
    <w:rsid w:val="00DF0375"/>
    <w:rsid w:val="00DF202C"/>
    <w:rsid w:val="00DF4057"/>
    <w:rsid w:val="00E01ABB"/>
    <w:rsid w:val="00E036AF"/>
    <w:rsid w:val="00E13010"/>
    <w:rsid w:val="00E176D1"/>
    <w:rsid w:val="00E31D6F"/>
    <w:rsid w:val="00E32B79"/>
    <w:rsid w:val="00E720BE"/>
    <w:rsid w:val="00E85604"/>
    <w:rsid w:val="00E91E30"/>
    <w:rsid w:val="00EA593C"/>
    <w:rsid w:val="00EC04B3"/>
    <w:rsid w:val="00EC2A50"/>
    <w:rsid w:val="00EC3E1E"/>
    <w:rsid w:val="00ED3D5E"/>
    <w:rsid w:val="00EF7224"/>
    <w:rsid w:val="00F05B6F"/>
    <w:rsid w:val="00F31BC4"/>
    <w:rsid w:val="00F36CA7"/>
    <w:rsid w:val="00F62FC4"/>
    <w:rsid w:val="00F67246"/>
    <w:rsid w:val="00F80F8E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1AC967"/>
  <w15:docId w15:val="{F6ACEA19-52B0-4120-B871-277CCCE3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80F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80F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uiPriority w:val="99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180240"/>
    <w:pPr>
      <w:tabs>
        <w:tab w:val="center" w:pos="4680"/>
        <w:tab w:val="right" w:pos="9360"/>
      </w:tabs>
      <w:spacing w:after="0" w:line="200" w:lineRule="atLeast"/>
      <w:jc w:val="right"/>
    </w:pPr>
    <w:rPr>
      <w:sz w:val="15"/>
      <w:lang w:eastAsia="sv-SE"/>
    </w:rPr>
  </w:style>
  <w:style w:type="character" w:customStyle="1" w:styleId="SidfotChar">
    <w:name w:val="Sidfot Char"/>
    <w:link w:val="Sidfot"/>
    <w:rsid w:val="00180240"/>
    <w:rPr>
      <w:rFonts w:ascii="Arial" w:hAnsi="Arial" w:cs="Arial"/>
      <w:color w:val="000000"/>
      <w:sz w:val="15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uiPriority w:val="59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F80F8E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80F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1E0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customStyle="1" w:styleId="Default">
    <w:name w:val="Default"/>
    <w:rsid w:val="001E030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E030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ka0711\AppData\Local\Microsoft\Windows\INetCache\Content.MSO\8CA398C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54E9-A893-495A-AB66-EB7341F8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8CA398C</Template>
  <TotalTime>2</TotalTime>
  <Pages>2</Pages>
  <Words>347</Words>
  <Characters>2039</Characters>
  <Application>Microsoft Office Word</Application>
  <DocSecurity>4</DocSecurity>
  <Lines>61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Karlsson</dc:creator>
  <cp:lastModifiedBy>Olivia Karlsson</cp:lastModifiedBy>
  <cp:revision>2</cp:revision>
  <dcterms:created xsi:type="dcterms:W3CDTF">2020-10-16T13:34:00Z</dcterms:created>
  <dcterms:modified xsi:type="dcterms:W3CDTF">2020-10-16T13:34:00Z</dcterms:modified>
</cp:coreProperties>
</file>