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2D4BB7" w:rsidTr="005B6363">
        <w:trPr>
          <w:trHeight w:val="1474"/>
        </w:trPr>
        <w:tc>
          <w:tcPr>
            <w:tcW w:w="4820" w:type="dxa"/>
          </w:tcPr>
          <w:p w:rsidR="002F701E" w:rsidRPr="002D4BB7" w:rsidRDefault="002D4BB7" w:rsidP="004F2319">
            <w:pPr>
              <w:pStyle w:val="Normalutanavstnd"/>
            </w:pPr>
            <w:bookmarkStart w:id="0" w:name="xxDatum"/>
            <w:bookmarkStart w:id="1" w:name="xxPos"/>
            <w:bookmarkEnd w:id="0"/>
            <w:bookmarkEnd w:id="1"/>
            <w:r w:rsidRPr="002D4BB7">
              <w:rPr>
                <w:i/>
              </w:rPr>
              <w:t>Datum</w:t>
            </w:r>
          </w:p>
          <w:p w:rsidR="002D4BB7" w:rsidRPr="002D4BB7" w:rsidRDefault="002D4BB7" w:rsidP="004F2319">
            <w:pPr>
              <w:pStyle w:val="Normalutanavstnd"/>
            </w:pPr>
            <w:r w:rsidRPr="002D4BB7">
              <w:t>2021-01-18</w:t>
            </w:r>
          </w:p>
          <w:p w:rsidR="002D4BB7" w:rsidRPr="002D4BB7" w:rsidRDefault="002D4BB7" w:rsidP="002D4BB7">
            <w:pPr>
              <w:pStyle w:val="Normalutanavstnd"/>
              <w:spacing w:before="60"/>
            </w:pPr>
            <w:proofErr w:type="spellStart"/>
            <w:r w:rsidRPr="002D4BB7">
              <w:rPr>
                <w:i/>
              </w:rPr>
              <w:t>Ärendenr</w:t>
            </w:r>
            <w:proofErr w:type="spellEnd"/>
          </w:p>
          <w:p w:rsidR="002D4BB7" w:rsidRPr="002D4BB7" w:rsidRDefault="002D4BB7" w:rsidP="002D4BB7">
            <w:pPr>
              <w:pStyle w:val="Normalutanavstnd"/>
            </w:pPr>
          </w:p>
        </w:tc>
        <w:tc>
          <w:tcPr>
            <w:tcW w:w="3969" w:type="dxa"/>
          </w:tcPr>
          <w:p w:rsidR="002F701E" w:rsidRPr="002D4BB7" w:rsidRDefault="002F701E" w:rsidP="004F2319">
            <w:pPr>
              <w:pStyle w:val="Normalutanavstnd"/>
            </w:pPr>
            <w:bookmarkStart w:id="2" w:name="xxMottagare"/>
            <w:bookmarkEnd w:id="2"/>
          </w:p>
        </w:tc>
      </w:tr>
      <w:tr w:rsidR="005B6363" w:rsidRPr="002D4BB7" w:rsidTr="00C6249A">
        <w:trPr>
          <w:trHeight w:val="851"/>
        </w:trPr>
        <w:tc>
          <w:tcPr>
            <w:tcW w:w="4820" w:type="dxa"/>
          </w:tcPr>
          <w:p w:rsidR="005B6363" w:rsidRPr="002D4BB7" w:rsidRDefault="005B6363" w:rsidP="0066456E"/>
        </w:tc>
        <w:tc>
          <w:tcPr>
            <w:tcW w:w="3969" w:type="dxa"/>
          </w:tcPr>
          <w:p w:rsidR="005B6363" w:rsidRPr="002D4BB7" w:rsidRDefault="005B6363" w:rsidP="0066456E"/>
        </w:tc>
      </w:tr>
    </w:tbl>
    <w:p w:rsidR="00654AA1" w:rsidRPr="002D4BB7" w:rsidRDefault="002D4BB7" w:rsidP="002D4BB7">
      <w:pPr>
        <w:pStyle w:val="Rubrik1"/>
      </w:pPr>
      <w:r>
        <w:t xml:space="preserve">Årsplanering </w:t>
      </w:r>
      <w:r w:rsidR="00974679">
        <w:t>och process för årlig kompetenskartläggning</w:t>
      </w:r>
    </w:p>
    <w:p w:rsidR="002D4BB7" w:rsidRDefault="002D4BB7" w:rsidP="002D4BB7">
      <w:pPr>
        <w:rPr>
          <w:lang w:eastAsia="sv-SE"/>
        </w:rPr>
      </w:pPr>
      <w:bookmarkStart w:id="3" w:name="xxDocument"/>
      <w:bookmarkEnd w:id="3"/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D4BB7" w:rsidP="002D4BB7">
      <w:pPr>
        <w:rPr>
          <w:lang w:eastAsia="sv-SE"/>
        </w:rPr>
      </w:pPr>
    </w:p>
    <w:p w:rsidR="002D4BB7" w:rsidRDefault="002A7647" w:rsidP="002A7647">
      <w:pPr>
        <w:pStyle w:val="Rubrik2"/>
      </w:pPr>
      <w:r>
        <w:lastRenderedPageBreak/>
        <w:t>Bakgrund</w:t>
      </w:r>
    </w:p>
    <w:p w:rsidR="002D4BB7" w:rsidRDefault="002A7647" w:rsidP="002D4BB7">
      <w:pPr>
        <w:rPr>
          <w:lang w:eastAsia="sv-SE"/>
        </w:rPr>
      </w:pPr>
      <w:r>
        <w:rPr>
          <w:lang w:eastAsia="sv-SE"/>
        </w:rPr>
        <w:t>Enligt kommunens vägledning för strategisk kompetensförsörjning är k</w:t>
      </w:r>
      <w:r w:rsidR="002D4BB7">
        <w:rPr>
          <w:lang w:eastAsia="sv-SE"/>
        </w:rPr>
        <w:t>ommunens ledningsgrupp är ytterst ansvarig för det strategiska kompetensförsörjningsarbetet.</w:t>
      </w:r>
    </w:p>
    <w:p w:rsidR="002D4BB7" w:rsidRDefault="002D4BB7" w:rsidP="002D4BB7">
      <w:pPr>
        <w:rPr>
          <w:lang w:eastAsia="sv-SE"/>
        </w:rPr>
      </w:pPr>
      <w:r>
        <w:rPr>
          <w:lang w:eastAsia="sv-SE"/>
        </w:rPr>
        <w:t>Respektive förvaltning ansvarar för att, utifrån förvaltningens behov och förutsättningar, identifiera och genomföra förvaltningsspecifika insatser.</w:t>
      </w:r>
    </w:p>
    <w:p w:rsidR="002D4BB7" w:rsidRDefault="002D4BB7" w:rsidP="002D4BB7">
      <w:pPr>
        <w:rPr>
          <w:lang w:eastAsia="sv-SE"/>
        </w:rPr>
      </w:pPr>
      <w:r>
        <w:rPr>
          <w:lang w:eastAsia="sv-SE"/>
        </w:rPr>
        <w:t>Varje enhetschef ansvarar för att kontinuerligt kompetensinventera sin verksamhet för att identifiera framtida behov.</w:t>
      </w:r>
    </w:p>
    <w:p w:rsidR="00974679" w:rsidRDefault="00974679" w:rsidP="00974679">
      <w:pPr>
        <w:rPr>
          <w:lang w:eastAsia="sv-SE"/>
        </w:rPr>
      </w:pPr>
      <w:r>
        <w:rPr>
          <w:lang w:eastAsia="sv-SE"/>
        </w:rPr>
        <w:t>Den kommungemensamma kompetensförsörjningsgruppen, med representanter från varje förvaltning, har uppdraget att i ett helhetsperspektiv föreslå åtgärder och insatser för att nå en god kompetensförsörjning i kommunen. Gruppen ska kontinuerligt över tid följa upp och utveckla kommunövergripande insatser inom området.</w:t>
      </w:r>
    </w:p>
    <w:p w:rsidR="002D4BB7" w:rsidRDefault="00974679" w:rsidP="002D4BB7">
      <w:pPr>
        <w:pStyle w:val="Normalutanavstnd"/>
        <w:rPr>
          <w:lang w:eastAsia="sv-SE"/>
        </w:rPr>
      </w:pPr>
      <w:r>
        <w:rPr>
          <w:lang w:eastAsia="sv-SE"/>
        </w:rPr>
        <w:t xml:space="preserve">Personalchef är ansvarig för att förvaltningarnas sammantagna kompetensinventeringar analyseras och utvärderas i ett kommunperspektiv. </w:t>
      </w:r>
    </w:p>
    <w:p w:rsidR="00BC3AFF" w:rsidRDefault="00BC3AFF" w:rsidP="002D4BB7">
      <w:pPr>
        <w:pStyle w:val="Normalutanavstnd"/>
        <w:rPr>
          <w:lang w:eastAsia="sv-SE"/>
        </w:rPr>
      </w:pPr>
    </w:p>
    <w:p w:rsidR="00BC3AFF" w:rsidRDefault="00BC3AFF" w:rsidP="00BC3AFF">
      <w:pPr>
        <w:pStyle w:val="Rubrik2"/>
      </w:pPr>
      <w:r>
        <w:t xml:space="preserve">Process kompetensinventering </w:t>
      </w:r>
    </w:p>
    <w:tbl>
      <w:tblPr>
        <w:tblStyle w:val="Rutntstabell4dekorfrg1"/>
        <w:tblW w:w="0" w:type="auto"/>
        <w:tblLook w:val="04A0" w:firstRow="1" w:lastRow="0" w:firstColumn="1" w:lastColumn="0" w:noHBand="0" w:noVBand="1"/>
      </w:tblPr>
      <w:tblGrid>
        <w:gridCol w:w="2963"/>
        <w:gridCol w:w="2890"/>
        <w:gridCol w:w="2925"/>
      </w:tblGrid>
      <w:tr w:rsidR="00BC3AFF" w:rsidTr="00BC3A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Default="00BC3AFF" w:rsidP="00BC3AFF">
            <w:pPr>
              <w:rPr>
                <w:lang w:eastAsia="sv-SE"/>
              </w:rPr>
            </w:pPr>
            <w:r>
              <w:rPr>
                <w:lang w:eastAsia="sv-SE"/>
              </w:rPr>
              <w:t>Aktivitet</w:t>
            </w:r>
          </w:p>
        </w:tc>
        <w:tc>
          <w:tcPr>
            <w:tcW w:w="2926" w:type="dxa"/>
          </w:tcPr>
          <w:p w:rsidR="00BC3AFF" w:rsidRDefault="00BC3AFF" w:rsidP="00BC3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När</w:t>
            </w:r>
          </w:p>
        </w:tc>
        <w:tc>
          <w:tcPr>
            <w:tcW w:w="2926" w:type="dxa"/>
          </w:tcPr>
          <w:p w:rsidR="00BC3AFF" w:rsidRDefault="00BC3AFF" w:rsidP="00BC3A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Ansvarig</w:t>
            </w:r>
          </w:p>
        </w:tc>
      </w:tr>
      <w:tr w:rsidR="00BC3AFF" w:rsidTr="00BC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Pr="00BC3AFF" w:rsidRDefault="00BC3AFF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>Kompetensinventering på enhetsnivå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September/oktober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Enhetschef/ verksamhetschef</w:t>
            </w:r>
          </w:p>
        </w:tc>
      </w:tr>
      <w:tr w:rsidR="00BC3AFF" w:rsidTr="00BC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Pr="00BC3AFF" w:rsidRDefault="00BC3AFF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>Kompetensinventering på förvaltningsnivå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November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Förvaltningschef</w:t>
            </w:r>
          </w:p>
        </w:tc>
      </w:tr>
      <w:tr w:rsidR="00BC3AFF" w:rsidTr="00BC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Pr="00BC3AFF" w:rsidRDefault="00BC3AFF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 xml:space="preserve">Rapport från </w:t>
            </w: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>förvaltningschef</w:t>
            </w: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 xml:space="preserve"> till kommunens ledningsgrupp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December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Förvaltningschef</w:t>
            </w:r>
          </w:p>
        </w:tc>
      </w:tr>
      <w:tr w:rsidR="00EC213D" w:rsidTr="00BC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EC213D" w:rsidRPr="00BC3AFF" w:rsidRDefault="00EC213D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>
              <w:rPr>
                <w:b w:val="0"/>
                <w:bCs w:val="0"/>
                <w:sz w:val="20"/>
                <w:szCs w:val="22"/>
                <w:lang w:eastAsia="sv-SE"/>
              </w:rPr>
              <w:t>Förvaltningschef skickar förslag på kommungemensamma satsningar till personalchef</w:t>
            </w:r>
          </w:p>
        </w:tc>
        <w:tc>
          <w:tcPr>
            <w:tcW w:w="2926" w:type="dxa"/>
          </w:tcPr>
          <w:p w:rsidR="00EC213D" w:rsidRPr="00BC3AFF" w:rsidRDefault="00EC213D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  <w:lang w:eastAsia="sv-SE"/>
              </w:rPr>
              <w:t xml:space="preserve">December </w:t>
            </w:r>
          </w:p>
        </w:tc>
        <w:tc>
          <w:tcPr>
            <w:tcW w:w="2926" w:type="dxa"/>
          </w:tcPr>
          <w:p w:rsidR="00EC213D" w:rsidRPr="00BC3AFF" w:rsidRDefault="00EC213D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  <w:lang w:eastAsia="sv-SE"/>
              </w:rPr>
              <w:t>Förvaltningschef</w:t>
            </w:r>
          </w:p>
        </w:tc>
      </w:tr>
      <w:tr w:rsidR="00B376C3" w:rsidTr="00BC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376C3" w:rsidRPr="00BC3AFF" w:rsidRDefault="00B376C3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>
              <w:rPr>
                <w:b w:val="0"/>
                <w:bCs w:val="0"/>
                <w:sz w:val="20"/>
                <w:szCs w:val="22"/>
                <w:lang w:eastAsia="sv-SE"/>
              </w:rPr>
              <w:t>Kommun</w:t>
            </w:r>
            <w:r w:rsidR="00EC213D">
              <w:rPr>
                <w:b w:val="0"/>
                <w:bCs w:val="0"/>
                <w:sz w:val="20"/>
                <w:szCs w:val="22"/>
                <w:lang w:eastAsia="sv-SE"/>
              </w:rPr>
              <w:t xml:space="preserve">gemensamma </w:t>
            </w:r>
            <w:r>
              <w:rPr>
                <w:b w:val="0"/>
                <w:bCs w:val="0"/>
                <w:sz w:val="20"/>
                <w:szCs w:val="22"/>
                <w:lang w:eastAsia="sv-SE"/>
              </w:rPr>
              <w:t>satsningar analyseras</w:t>
            </w:r>
            <w:r w:rsidR="00EC213D">
              <w:rPr>
                <w:b w:val="0"/>
                <w:bCs w:val="0"/>
                <w:sz w:val="20"/>
                <w:szCs w:val="22"/>
                <w:lang w:eastAsia="sv-SE"/>
              </w:rPr>
              <w:t xml:space="preserve"> av strategiska kompetensförsörjningsgruppen samt föreslår åtgärder</w:t>
            </w:r>
          </w:p>
        </w:tc>
        <w:tc>
          <w:tcPr>
            <w:tcW w:w="2926" w:type="dxa"/>
          </w:tcPr>
          <w:p w:rsidR="00B376C3" w:rsidRPr="00BC3AFF" w:rsidRDefault="00EC213D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  <w:lang w:eastAsia="sv-SE"/>
              </w:rPr>
              <w:t>Januari</w:t>
            </w:r>
          </w:p>
        </w:tc>
        <w:tc>
          <w:tcPr>
            <w:tcW w:w="2926" w:type="dxa"/>
          </w:tcPr>
          <w:p w:rsidR="00B376C3" w:rsidRPr="00BC3AFF" w:rsidRDefault="00EC213D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  <w:lang w:eastAsia="sv-SE"/>
              </w:rPr>
              <w:t>Personalchef</w:t>
            </w:r>
          </w:p>
        </w:tc>
      </w:tr>
      <w:tr w:rsidR="00EC213D" w:rsidTr="00BC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Pr="00BC3AFF" w:rsidRDefault="00BC3AFF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lastRenderedPageBreak/>
              <w:t>Rapport till kommunstyrelsens personalutskott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Februari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 w:rsidRPr="00BC3AFF">
              <w:rPr>
                <w:sz w:val="20"/>
                <w:szCs w:val="22"/>
                <w:lang w:eastAsia="sv-SE"/>
              </w:rPr>
              <w:t>Personalchef</w:t>
            </w:r>
          </w:p>
        </w:tc>
      </w:tr>
      <w:tr w:rsidR="00EC213D" w:rsidTr="00BC3A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Pr="00BC3AFF" w:rsidRDefault="00BC3AFF" w:rsidP="00BC3AFF">
            <w:pPr>
              <w:rPr>
                <w:b w:val="0"/>
                <w:bCs w:val="0"/>
                <w:sz w:val="20"/>
                <w:szCs w:val="22"/>
                <w:lang w:eastAsia="sv-SE"/>
              </w:rPr>
            </w:pP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 xml:space="preserve">Ta in eventuella kommunövergripande </w:t>
            </w: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br/>
              <w:t>satsningar i budgetprocessen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  <w:lang w:eastAsia="sv-SE"/>
              </w:rPr>
              <w:t>Mars/april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  <w:lang w:eastAsia="sv-SE"/>
              </w:rPr>
            </w:pPr>
            <w:r>
              <w:rPr>
                <w:sz w:val="20"/>
                <w:szCs w:val="22"/>
                <w:lang w:eastAsia="sv-SE"/>
              </w:rPr>
              <w:t>Förvaltningschef/kommunchef</w:t>
            </w:r>
          </w:p>
        </w:tc>
      </w:tr>
      <w:tr w:rsidR="00EC213D" w:rsidTr="00BC3A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:rsidR="00BC3AFF" w:rsidRPr="00BC3AFF" w:rsidRDefault="00BC3AFF" w:rsidP="00BC3AFF">
            <w:pPr>
              <w:rPr>
                <w:b w:val="0"/>
                <w:bCs w:val="0"/>
                <w:lang w:eastAsia="sv-SE"/>
              </w:rPr>
            </w:pP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>Ta in eventuella nämndspecifika</w:t>
            </w: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tab/>
            </w:r>
            <w:r w:rsidRPr="00BC3AFF">
              <w:rPr>
                <w:b w:val="0"/>
                <w:bCs w:val="0"/>
                <w:sz w:val="20"/>
                <w:szCs w:val="22"/>
                <w:lang w:eastAsia="sv-SE"/>
              </w:rPr>
              <w:br/>
              <w:t>satsningar i budgetprocessen</w:t>
            </w:r>
            <w:r>
              <w:rPr>
                <w:b w:val="0"/>
                <w:bCs w:val="0"/>
                <w:lang w:eastAsia="sv-SE"/>
              </w:rPr>
              <w:t xml:space="preserve"> </w:t>
            </w:r>
            <w:r w:rsidRPr="00BC3AFF">
              <w:rPr>
                <w:b w:val="0"/>
                <w:bCs w:val="0"/>
                <w:sz w:val="20"/>
                <w:szCs w:val="20"/>
                <w:lang w:eastAsia="sv-SE"/>
              </w:rPr>
              <w:t>(inkl. detaljbudgetarbete)</w:t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v-SE"/>
              </w:rPr>
            </w:pPr>
            <w:r w:rsidRPr="00BC3AFF">
              <w:rPr>
                <w:sz w:val="20"/>
                <w:szCs w:val="20"/>
                <w:lang w:eastAsia="sv-SE"/>
              </w:rPr>
              <w:t xml:space="preserve">Mars/april + höst </w:t>
            </w:r>
            <w:r>
              <w:rPr>
                <w:sz w:val="20"/>
                <w:szCs w:val="20"/>
                <w:lang w:eastAsia="sv-SE"/>
              </w:rPr>
              <w:br/>
            </w:r>
          </w:p>
        </w:tc>
        <w:tc>
          <w:tcPr>
            <w:tcW w:w="2926" w:type="dxa"/>
          </w:tcPr>
          <w:p w:rsidR="00BC3AFF" w:rsidRPr="00BC3AFF" w:rsidRDefault="00BC3AFF" w:rsidP="00BC3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Förvaltningschef</w:t>
            </w:r>
          </w:p>
        </w:tc>
      </w:tr>
    </w:tbl>
    <w:p w:rsidR="00BC3AFF" w:rsidRDefault="00BC3AFF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EC213D" w:rsidRDefault="00EC213D" w:rsidP="00BC3AFF">
      <w:pPr>
        <w:rPr>
          <w:lang w:eastAsia="sv-SE"/>
        </w:rPr>
      </w:pPr>
    </w:p>
    <w:p w:rsidR="00DB34E9" w:rsidRDefault="00DB34E9" w:rsidP="00BC3AFF">
      <w:pPr>
        <w:rPr>
          <w:lang w:eastAsia="sv-SE"/>
        </w:rPr>
        <w:sectPr w:rsidR="00DB34E9" w:rsidSect="00500B87">
          <w:headerReference w:type="default" r:id="rId8"/>
          <w:headerReference w:type="first" r:id="rId9"/>
          <w:footerReference w:type="first" r:id="rId10"/>
          <w:pgSz w:w="11907" w:h="16839" w:code="9"/>
          <w:pgMar w:top="2523" w:right="1701" w:bottom="2098" w:left="1418" w:header="397" w:footer="794" w:gutter="0"/>
          <w:cols w:space="720"/>
          <w:titlePg/>
          <w:docGrid w:linePitch="360"/>
        </w:sectPr>
      </w:pPr>
    </w:p>
    <w:p w:rsidR="00DB34E9" w:rsidRDefault="00DB34E9" w:rsidP="00360C0B">
      <w:pPr>
        <w:pStyle w:val="Rubrik2"/>
      </w:pPr>
      <w:r>
        <w:lastRenderedPageBreak/>
        <w:t xml:space="preserve">Kompetensinventering och analys </w:t>
      </w:r>
      <w:r w:rsidR="008D6F28">
        <w:t>–</w:t>
      </w:r>
      <w:r>
        <w:t xml:space="preserve"> förvaltningsnivå</w:t>
      </w:r>
    </w:p>
    <w:p w:rsidR="008D6F28" w:rsidRDefault="00360C0B" w:rsidP="008D6F28">
      <w:pPr>
        <w:rPr>
          <w:b/>
          <w:bCs/>
          <w:lang w:eastAsia="sv-SE"/>
        </w:rPr>
      </w:pPr>
      <w:r>
        <w:rPr>
          <w:b/>
          <w:bCs/>
          <w:lang w:eastAsia="sv-SE"/>
        </w:rPr>
        <w:t>Förvaltning: _</w:t>
      </w:r>
      <w:r w:rsidR="008D6F28">
        <w:rPr>
          <w:b/>
          <w:bCs/>
          <w:lang w:eastAsia="sv-SE"/>
        </w:rPr>
        <w:t>___________________________________</w:t>
      </w:r>
    </w:p>
    <w:p w:rsidR="00360C0B" w:rsidRPr="00360C0B" w:rsidRDefault="00360C0B" w:rsidP="008D6F28">
      <w:pPr>
        <w:rPr>
          <w:lang w:eastAsia="sv-SE"/>
        </w:rPr>
      </w:pPr>
      <w:r>
        <w:rPr>
          <w:lang w:eastAsia="sv-SE"/>
        </w:rPr>
        <w:t xml:space="preserve">I denna inventering lyfts aktiviteter som avses att hanteras på förvaltningsnivå, dvs de aktiviteter som enheterna själva inte kan åtgärda. </w:t>
      </w:r>
    </w:p>
    <w:tbl>
      <w:tblPr>
        <w:tblStyle w:val="Rutntstabell6frgstarkdekorfrg1"/>
        <w:tblpPr w:leftFromText="141" w:rightFromText="141" w:vertAnchor="text" w:horzAnchor="margin" w:tblpX="279" w:tblpY="677"/>
        <w:tblW w:w="13683" w:type="dxa"/>
        <w:tblLook w:val="04A0" w:firstRow="1" w:lastRow="0" w:firstColumn="1" w:lastColumn="0" w:noHBand="0" w:noVBand="1"/>
      </w:tblPr>
      <w:tblGrid>
        <w:gridCol w:w="3631"/>
        <w:gridCol w:w="2286"/>
        <w:gridCol w:w="2694"/>
        <w:gridCol w:w="2664"/>
        <w:gridCol w:w="2408"/>
      </w:tblGrid>
      <w:tr w:rsidR="00360C0B" w:rsidTr="00360C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:rsidR="00360C0B" w:rsidRDefault="00360C0B" w:rsidP="00360C0B">
            <w:pPr>
              <w:pStyle w:val="Normalutanavstnd"/>
              <w:rPr>
                <w:lang w:eastAsia="sv-SE"/>
              </w:rPr>
            </w:pPr>
            <w:r>
              <w:rPr>
                <w:lang w:eastAsia="sv-SE"/>
              </w:rPr>
              <w:t xml:space="preserve">Aktivitet/förslag på utvecklingsinsats </w:t>
            </w:r>
          </w:p>
        </w:tc>
        <w:tc>
          <w:tcPr>
            <w:tcW w:w="2286" w:type="dxa"/>
          </w:tcPr>
          <w:p w:rsidR="00360C0B" w:rsidRDefault="00360C0B" w:rsidP="00360C0B">
            <w:pPr>
              <w:pStyle w:val="Normalutan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B</w:t>
            </w:r>
            <w:r>
              <w:rPr>
                <w:lang w:eastAsia="sv-SE"/>
              </w:rPr>
              <w:t>eräknad kostnad</w:t>
            </w:r>
            <w:r>
              <w:rPr>
                <w:lang w:eastAsia="sv-SE"/>
              </w:rPr>
              <w:t xml:space="preserve"> per år</w:t>
            </w:r>
          </w:p>
        </w:tc>
        <w:tc>
          <w:tcPr>
            <w:tcW w:w="2694" w:type="dxa"/>
          </w:tcPr>
          <w:p w:rsidR="00360C0B" w:rsidRDefault="00360C0B" w:rsidP="00360C0B">
            <w:pPr>
              <w:pStyle w:val="Normalutan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Beräknas genomföras</w:t>
            </w:r>
          </w:p>
        </w:tc>
        <w:tc>
          <w:tcPr>
            <w:tcW w:w="2664" w:type="dxa"/>
          </w:tcPr>
          <w:p w:rsidR="00360C0B" w:rsidRDefault="00360C0B" w:rsidP="00360C0B">
            <w:pPr>
              <w:pStyle w:val="Normalutan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Ansvarig för insats</w:t>
            </w:r>
          </w:p>
        </w:tc>
        <w:tc>
          <w:tcPr>
            <w:tcW w:w="2408" w:type="dxa"/>
          </w:tcPr>
          <w:p w:rsidR="00360C0B" w:rsidRDefault="00360C0B" w:rsidP="00360C0B">
            <w:pPr>
              <w:pStyle w:val="Normalutan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  <w:r>
              <w:rPr>
                <w:lang w:eastAsia="sv-SE"/>
              </w:rPr>
              <w:t>Tid för uppföljning</w:t>
            </w:r>
          </w:p>
        </w:tc>
      </w:tr>
      <w:tr w:rsidR="00360C0B" w:rsidTr="0036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:rsidR="00360C0B" w:rsidRDefault="00360C0B" w:rsidP="00360C0B">
            <w:pPr>
              <w:pStyle w:val="Normalutanavstnd"/>
              <w:rPr>
                <w:lang w:eastAsia="sv-SE"/>
              </w:rPr>
            </w:pPr>
          </w:p>
        </w:tc>
        <w:tc>
          <w:tcPr>
            <w:tcW w:w="2286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694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664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408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360C0B" w:rsidTr="00360C0B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:rsidR="00360C0B" w:rsidRDefault="00360C0B" w:rsidP="00360C0B">
            <w:pPr>
              <w:pStyle w:val="Normalutanavstnd"/>
              <w:rPr>
                <w:lang w:eastAsia="sv-SE"/>
              </w:rPr>
            </w:pPr>
          </w:p>
        </w:tc>
        <w:tc>
          <w:tcPr>
            <w:tcW w:w="2286" w:type="dxa"/>
          </w:tcPr>
          <w:p w:rsidR="00360C0B" w:rsidRDefault="00360C0B" w:rsidP="00360C0B">
            <w:pPr>
              <w:pStyle w:val="Normalutan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694" w:type="dxa"/>
          </w:tcPr>
          <w:p w:rsidR="00360C0B" w:rsidRDefault="00360C0B" w:rsidP="00360C0B">
            <w:pPr>
              <w:pStyle w:val="Normalutan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664" w:type="dxa"/>
          </w:tcPr>
          <w:p w:rsidR="00360C0B" w:rsidRDefault="00360C0B" w:rsidP="00360C0B">
            <w:pPr>
              <w:pStyle w:val="Normalutan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408" w:type="dxa"/>
          </w:tcPr>
          <w:p w:rsidR="00360C0B" w:rsidRDefault="00360C0B" w:rsidP="00360C0B">
            <w:pPr>
              <w:pStyle w:val="Normalutan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  <w:tr w:rsidR="00360C0B" w:rsidTr="0036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1" w:type="dxa"/>
          </w:tcPr>
          <w:p w:rsidR="00360C0B" w:rsidRDefault="00360C0B" w:rsidP="00360C0B">
            <w:pPr>
              <w:pStyle w:val="Normalutanavstnd"/>
              <w:rPr>
                <w:lang w:eastAsia="sv-SE"/>
              </w:rPr>
            </w:pPr>
          </w:p>
        </w:tc>
        <w:tc>
          <w:tcPr>
            <w:tcW w:w="2286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694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664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  <w:tc>
          <w:tcPr>
            <w:tcW w:w="2408" w:type="dxa"/>
          </w:tcPr>
          <w:p w:rsidR="00360C0B" w:rsidRDefault="00360C0B" w:rsidP="00360C0B">
            <w:pPr>
              <w:pStyle w:val="Normalutanavst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sv-SE"/>
              </w:rPr>
            </w:pPr>
          </w:p>
        </w:tc>
      </w:tr>
    </w:tbl>
    <w:p w:rsidR="00EC213D" w:rsidRDefault="00EC213D" w:rsidP="00DB34E9">
      <w:pPr>
        <w:ind w:left="-1701"/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Pr="00360C0B" w:rsidRDefault="00360C0B" w:rsidP="00360C0B">
      <w:pPr>
        <w:rPr>
          <w:lang w:eastAsia="sv-SE"/>
        </w:rPr>
      </w:pPr>
    </w:p>
    <w:p w:rsidR="00360C0B" w:rsidRDefault="00360C0B" w:rsidP="00360C0B">
      <w:pPr>
        <w:rPr>
          <w:lang w:eastAsia="sv-SE"/>
        </w:rPr>
      </w:pPr>
      <w:bookmarkStart w:id="5" w:name="_GoBack"/>
      <w:bookmarkEnd w:id="5"/>
    </w:p>
    <w:p w:rsidR="00360C0B" w:rsidRDefault="00360C0B" w:rsidP="007E294A">
      <w:pPr>
        <w:rPr>
          <w:b/>
          <w:bCs/>
          <w:sz w:val="24"/>
          <w:szCs w:val="28"/>
        </w:rPr>
      </w:pPr>
      <w:r w:rsidRPr="007E294A">
        <w:rPr>
          <w:b/>
          <w:bCs/>
          <w:sz w:val="24"/>
          <w:szCs w:val="28"/>
        </w:rPr>
        <w:t>Sammanfattande analys</w:t>
      </w:r>
      <w:r w:rsidR="007E294A">
        <w:rPr>
          <w:b/>
          <w:bCs/>
          <w:sz w:val="24"/>
          <w:szCs w:val="28"/>
        </w:rPr>
        <w:t xml:space="preserve"> av aktiviteter/utvecklingsinsatser</w:t>
      </w:r>
    </w:p>
    <w:p w:rsidR="007E294A" w:rsidRPr="007E294A" w:rsidRDefault="007E294A" w:rsidP="007E294A">
      <w:pPr>
        <w:rPr>
          <w:sz w:val="24"/>
          <w:szCs w:val="28"/>
        </w:rPr>
      </w:pPr>
      <w:r w:rsidRPr="007E294A">
        <w:rPr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157236</wp:posOffset>
                </wp:positionH>
                <wp:positionV relativeFrom="paragraph">
                  <wp:posOffset>18806</wp:posOffset>
                </wp:positionV>
                <wp:extent cx="8658664" cy="1244991"/>
                <wp:effectExtent l="0" t="0" r="28575" b="1270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664" cy="1244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A" w:rsidRDefault="007E29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2.4pt;margin-top:1.5pt;width:681.8pt;height:98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PFJQ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">
                <v:textbox>
                  <w:txbxContent>
                    <w:p w:rsidR="007E294A" w:rsidRDefault="007E294A"/>
                  </w:txbxContent>
                </v:textbox>
              </v:shape>
            </w:pict>
          </mc:Fallback>
        </mc:AlternateContent>
      </w:r>
    </w:p>
    <w:p w:rsidR="00360C0B" w:rsidRPr="00360C0B" w:rsidRDefault="00360C0B" w:rsidP="007E294A">
      <w:pPr>
        <w:rPr>
          <w:lang w:eastAsia="sv-SE"/>
        </w:rPr>
      </w:pPr>
    </w:p>
    <w:sectPr w:rsidR="00360C0B" w:rsidRPr="00360C0B" w:rsidSect="00360C0B">
      <w:pgSz w:w="16839" w:h="11907" w:orient="landscape" w:code="9"/>
      <w:pgMar w:top="993" w:right="679" w:bottom="1701" w:left="993" w:header="39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B7" w:rsidRDefault="002D4BB7" w:rsidP="008453F1">
      <w:pPr>
        <w:spacing w:line="240" w:lineRule="auto"/>
      </w:pPr>
      <w:r>
        <w:separator/>
      </w:r>
    </w:p>
  </w:endnote>
  <w:endnote w:type="continuationSeparator" w:id="0">
    <w:p w:rsidR="002D4BB7" w:rsidRDefault="002D4BB7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55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6"/>
      <w:gridCol w:w="4593"/>
    </w:tblGrid>
    <w:tr w:rsidR="00561154" w:rsidTr="00360C0B">
      <w:trPr>
        <w:trHeight w:val="698"/>
      </w:trPr>
      <w:tc>
        <w:tcPr>
          <w:tcW w:w="10926" w:type="dxa"/>
          <w:vAlign w:val="bottom"/>
        </w:tcPr>
        <w:p w:rsidR="0040660B" w:rsidRDefault="0040660B" w:rsidP="00360C0B">
          <w:pPr>
            <w:pStyle w:val="Sidfot"/>
            <w:jc w:val="left"/>
          </w:pPr>
        </w:p>
      </w:tc>
      <w:tc>
        <w:tcPr>
          <w:tcW w:w="4593" w:type="dxa"/>
          <w:vAlign w:val="bottom"/>
        </w:tcPr>
        <w:p w:rsidR="00561154" w:rsidRDefault="00477FD8" w:rsidP="00A123CB">
          <w:pPr>
            <w:pStyle w:val="Sidfot"/>
          </w:pPr>
          <w:r>
            <w:rPr>
              <w:noProof/>
            </w:rPr>
            <w:drawing>
              <wp:inline distT="0" distB="0" distL="0" distR="0" wp14:anchorId="039EDF09" wp14:editId="74145084">
                <wp:extent cx="1092501" cy="360000"/>
                <wp:effectExtent l="0" t="0" r="0" b="2540"/>
                <wp:docPr id="8" name="Bildobjekt 8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50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B7" w:rsidRDefault="002D4BB7" w:rsidP="008453F1">
      <w:pPr>
        <w:spacing w:line="240" w:lineRule="auto"/>
      </w:pPr>
      <w:r>
        <w:separator/>
      </w:r>
    </w:p>
  </w:footnote>
  <w:footnote w:type="continuationSeparator" w:id="0">
    <w:p w:rsidR="002D4BB7" w:rsidRDefault="002D4BB7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8528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566C19E" wp14:editId="279C405D">
                <wp:extent cx="308571" cy="360000"/>
                <wp:effectExtent l="0" t="0" r="0" b="2540"/>
                <wp:docPr id="3" name="Bildobjekt 3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Bildobjekt 7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3C224EBF" wp14:editId="1F20E1C0">
                <wp:extent cx="377952" cy="356616"/>
                <wp:effectExtent l="0" t="0" r="3175" b="5715"/>
                <wp:docPr id="4" name="Bildobjekt 4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Logotyp i sidhuvu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2D4BB7" w:rsidP="00014173">
          <w:pPr>
            <w:pStyle w:val="Sidhuvud"/>
            <w:tabs>
              <w:tab w:val="right" w:pos="3822"/>
            </w:tabs>
            <w:spacing w:before="160"/>
          </w:pPr>
          <w:bookmarkStart w:id="4" w:name="xxFörvaltning"/>
          <w:bookmarkEnd w:id="4"/>
          <w:r>
            <w:t>Tibro kommun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5E093116" wp14:editId="6B047755">
                <wp:extent cx="308571" cy="360000"/>
                <wp:effectExtent l="0" t="0" r="0" b="2540"/>
                <wp:docPr id="6" name="Bildobjekt 6" descr="Logotyp i sid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descr="Logotyp i sidhuvu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57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4A29A2"/>
    <w:multiLevelType w:val="hybridMultilevel"/>
    <w:tmpl w:val="9208A07A"/>
    <w:lvl w:ilvl="0" w:tplc="C44C2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B7"/>
    <w:rsid w:val="00004D83"/>
    <w:rsid w:val="00012A62"/>
    <w:rsid w:val="00014173"/>
    <w:rsid w:val="00022CEE"/>
    <w:rsid w:val="000241EE"/>
    <w:rsid w:val="00032EB5"/>
    <w:rsid w:val="000365B4"/>
    <w:rsid w:val="000373F8"/>
    <w:rsid w:val="00040301"/>
    <w:rsid w:val="0004652C"/>
    <w:rsid w:val="00051427"/>
    <w:rsid w:val="000566A6"/>
    <w:rsid w:val="00065707"/>
    <w:rsid w:val="00097CCD"/>
    <w:rsid w:val="000A2C01"/>
    <w:rsid w:val="000A3C21"/>
    <w:rsid w:val="000B6BD5"/>
    <w:rsid w:val="000C029B"/>
    <w:rsid w:val="000C2800"/>
    <w:rsid w:val="000C4C78"/>
    <w:rsid w:val="000C6CF1"/>
    <w:rsid w:val="000E7725"/>
    <w:rsid w:val="000F2DC6"/>
    <w:rsid w:val="00111513"/>
    <w:rsid w:val="0013272C"/>
    <w:rsid w:val="0013697C"/>
    <w:rsid w:val="00140360"/>
    <w:rsid w:val="0014634D"/>
    <w:rsid w:val="00171482"/>
    <w:rsid w:val="00174D9C"/>
    <w:rsid w:val="00175CA2"/>
    <w:rsid w:val="00180240"/>
    <w:rsid w:val="00193395"/>
    <w:rsid w:val="001A36A4"/>
    <w:rsid w:val="001B6B30"/>
    <w:rsid w:val="001E497E"/>
    <w:rsid w:val="001E57CF"/>
    <w:rsid w:val="001E5A4D"/>
    <w:rsid w:val="001F6CE5"/>
    <w:rsid w:val="002059D7"/>
    <w:rsid w:val="00205C9F"/>
    <w:rsid w:val="00213B44"/>
    <w:rsid w:val="0023027D"/>
    <w:rsid w:val="00241369"/>
    <w:rsid w:val="002437CB"/>
    <w:rsid w:val="002519DB"/>
    <w:rsid w:val="002521D9"/>
    <w:rsid w:val="0025486C"/>
    <w:rsid w:val="00273E91"/>
    <w:rsid w:val="002861FA"/>
    <w:rsid w:val="00286D8B"/>
    <w:rsid w:val="002A54DA"/>
    <w:rsid w:val="002A6AF2"/>
    <w:rsid w:val="002A7647"/>
    <w:rsid w:val="002B06BD"/>
    <w:rsid w:val="002D2298"/>
    <w:rsid w:val="002D277B"/>
    <w:rsid w:val="002D4BB7"/>
    <w:rsid w:val="002D5CE0"/>
    <w:rsid w:val="002E262C"/>
    <w:rsid w:val="002E5F1D"/>
    <w:rsid w:val="002F701E"/>
    <w:rsid w:val="0031302F"/>
    <w:rsid w:val="00326F3D"/>
    <w:rsid w:val="00330621"/>
    <w:rsid w:val="003424CE"/>
    <w:rsid w:val="003474A9"/>
    <w:rsid w:val="0035470D"/>
    <w:rsid w:val="003603BF"/>
    <w:rsid w:val="00360C0B"/>
    <w:rsid w:val="003670A5"/>
    <w:rsid w:val="00376F2A"/>
    <w:rsid w:val="00382A73"/>
    <w:rsid w:val="00397CDB"/>
    <w:rsid w:val="003A22F0"/>
    <w:rsid w:val="003A520D"/>
    <w:rsid w:val="003B447D"/>
    <w:rsid w:val="003D4F90"/>
    <w:rsid w:val="003F13CA"/>
    <w:rsid w:val="003F5BCA"/>
    <w:rsid w:val="003F6440"/>
    <w:rsid w:val="0040003F"/>
    <w:rsid w:val="0040660B"/>
    <w:rsid w:val="00411542"/>
    <w:rsid w:val="00412A5C"/>
    <w:rsid w:val="00413513"/>
    <w:rsid w:val="0041487A"/>
    <w:rsid w:val="00420792"/>
    <w:rsid w:val="004216C8"/>
    <w:rsid w:val="00422226"/>
    <w:rsid w:val="0042712B"/>
    <w:rsid w:val="00427CDB"/>
    <w:rsid w:val="0043087E"/>
    <w:rsid w:val="00432A2D"/>
    <w:rsid w:val="004369EE"/>
    <w:rsid w:val="00477FD8"/>
    <w:rsid w:val="00485284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84AFA"/>
    <w:rsid w:val="005941BA"/>
    <w:rsid w:val="005A391A"/>
    <w:rsid w:val="005A395A"/>
    <w:rsid w:val="005B6363"/>
    <w:rsid w:val="005B71A0"/>
    <w:rsid w:val="005C42F6"/>
    <w:rsid w:val="005C540D"/>
    <w:rsid w:val="005E30B9"/>
    <w:rsid w:val="005E5C84"/>
    <w:rsid w:val="005E6483"/>
    <w:rsid w:val="005E654A"/>
    <w:rsid w:val="005E706D"/>
    <w:rsid w:val="005F152C"/>
    <w:rsid w:val="005F3A6A"/>
    <w:rsid w:val="006079DC"/>
    <w:rsid w:val="006217FC"/>
    <w:rsid w:val="00622046"/>
    <w:rsid w:val="006227CF"/>
    <w:rsid w:val="00630DAC"/>
    <w:rsid w:val="00631620"/>
    <w:rsid w:val="006339E7"/>
    <w:rsid w:val="00654AA1"/>
    <w:rsid w:val="0066456E"/>
    <w:rsid w:val="00674B19"/>
    <w:rsid w:val="0069279F"/>
    <w:rsid w:val="0069303A"/>
    <w:rsid w:val="00694CB2"/>
    <w:rsid w:val="006A1BBA"/>
    <w:rsid w:val="006A345E"/>
    <w:rsid w:val="006A7B6B"/>
    <w:rsid w:val="006B45CB"/>
    <w:rsid w:val="006B4677"/>
    <w:rsid w:val="006C2846"/>
    <w:rsid w:val="006D2DA7"/>
    <w:rsid w:val="006E3CAA"/>
    <w:rsid w:val="007053F3"/>
    <w:rsid w:val="00706BD2"/>
    <w:rsid w:val="00707887"/>
    <w:rsid w:val="007134A2"/>
    <w:rsid w:val="00721F2A"/>
    <w:rsid w:val="00726ED0"/>
    <w:rsid w:val="0073443A"/>
    <w:rsid w:val="00747A92"/>
    <w:rsid w:val="007535AC"/>
    <w:rsid w:val="00757EBB"/>
    <w:rsid w:val="00785FD9"/>
    <w:rsid w:val="00790629"/>
    <w:rsid w:val="00792503"/>
    <w:rsid w:val="007A5355"/>
    <w:rsid w:val="007B2FCF"/>
    <w:rsid w:val="007C1511"/>
    <w:rsid w:val="007D31B5"/>
    <w:rsid w:val="007D5293"/>
    <w:rsid w:val="007E294A"/>
    <w:rsid w:val="007E771B"/>
    <w:rsid w:val="00801399"/>
    <w:rsid w:val="008049AB"/>
    <w:rsid w:val="008111F0"/>
    <w:rsid w:val="00844BD2"/>
    <w:rsid w:val="008453F1"/>
    <w:rsid w:val="00850E58"/>
    <w:rsid w:val="0085755C"/>
    <w:rsid w:val="00864877"/>
    <w:rsid w:val="008720E8"/>
    <w:rsid w:val="00880C1E"/>
    <w:rsid w:val="00891619"/>
    <w:rsid w:val="00897510"/>
    <w:rsid w:val="008A375F"/>
    <w:rsid w:val="008D6F28"/>
    <w:rsid w:val="008E29AB"/>
    <w:rsid w:val="008E5480"/>
    <w:rsid w:val="00904887"/>
    <w:rsid w:val="00907455"/>
    <w:rsid w:val="009111FA"/>
    <w:rsid w:val="0091299F"/>
    <w:rsid w:val="00925B02"/>
    <w:rsid w:val="009319F5"/>
    <w:rsid w:val="009341D3"/>
    <w:rsid w:val="00961561"/>
    <w:rsid w:val="00966CCC"/>
    <w:rsid w:val="00974679"/>
    <w:rsid w:val="00993BD0"/>
    <w:rsid w:val="009A07F0"/>
    <w:rsid w:val="009A615A"/>
    <w:rsid w:val="009B6610"/>
    <w:rsid w:val="009C32A0"/>
    <w:rsid w:val="009C6FF1"/>
    <w:rsid w:val="009C77F0"/>
    <w:rsid w:val="009E3549"/>
    <w:rsid w:val="009F3E95"/>
    <w:rsid w:val="00A01592"/>
    <w:rsid w:val="00A0215C"/>
    <w:rsid w:val="00A123CB"/>
    <w:rsid w:val="00A460F1"/>
    <w:rsid w:val="00A46220"/>
    <w:rsid w:val="00A54EBF"/>
    <w:rsid w:val="00A6793E"/>
    <w:rsid w:val="00A80CE1"/>
    <w:rsid w:val="00A81710"/>
    <w:rsid w:val="00A95D9B"/>
    <w:rsid w:val="00A96A57"/>
    <w:rsid w:val="00AA1068"/>
    <w:rsid w:val="00AA1E4E"/>
    <w:rsid w:val="00AA4E07"/>
    <w:rsid w:val="00AB041E"/>
    <w:rsid w:val="00AC017E"/>
    <w:rsid w:val="00AC46E5"/>
    <w:rsid w:val="00AD4FE4"/>
    <w:rsid w:val="00AF43CB"/>
    <w:rsid w:val="00B11866"/>
    <w:rsid w:val="00B3160C"/>
    <w:rsid w:val="00B3314F"/>
    <w:rsid w:val="00B33628"/>
    <w:rsid w:val="00B376C3"/>
    <w:rsid w:val="00B42DB4"/>
    <w:rsid w:val="00B54E91"/>
    <w:rsid w:val="00B6388E"/>
    <w:rsid w:val="00B75562"/>
    <w:rsid w:val="00B82242"/>
    <w:rsid w:val="00B92795"/>
    <w:rsid w:val="00B928F3"/>
    <w:rsid w:val="00BC14C0"/>
    <w:rsid w:val="00BC3AFF"/>
    <w:rsid w:val="00BE238C"/>
    <w:rsid w:val="00BE279D"/>
    <w:rsid w:val="00BE5B9D"/>
    <w:rsid w:val="00BF2DB9"/>
    <w:rsid w:val="00C03DFA"/>
    <w:rsid w:val="00C047D7"/>
    <w:rsid w:val="00C14C4D"/>
    <w:rsid w:val="00C16ABE"/>
    <w:rsid w:val="00C2658D"/>
    <w:rsid w:val="00C342F1"/>
    <w:rsid w:val="00C3460D"/>
    <w:rsid w:val="00C41F0E"/>
    <w:rsid w:val="00C43C68"/>
    <w:rsid w:val="00C51F2A"/>
    <w:rsid w:val="00C52A3F"/>
    <w:rsid w:val="00C6249A"/>
    <w:rsid w:val="00C65FC8"/>
    <w:rsid w:val="00C81B55"/>
    <w:rsid w:val="00C83670"/>
    <w:rsid w:val="00C90E98"/>
    <w:rsid w:val="00CA75E8"/>
    <w:rsid w:val="00CD69FF"/>
    <w:rsid w:val="00CE6C96"/>
    <w:rsid w:val="00CF186C"/>
    <w:rsid w:val="00CF706F"/>
    <w:rsid w:val="00D05979"/>
    <w:rsid w:val="00D13722"/>
    <w:rsid w:val="00D15E02"/>
    <w:rsid w:val="00D176EC"/>
    <w:rsid w:val="00D21F8E"/>
    <w:rsid w:val="00D22D49"/>
    <w:rsid w:val="00D2308F"/>
    <w:rsid w:val="00D27F42"/>
    <w:rsid w:val="00D3318B"/>
    <w:rsid w:val="00D37C89"/>
    <w:rsid w:val="00D43B89"/>
    <w:rsid w:val="00D67746"/>
    <w:rsid w:val="00D763C8"/>
    <w:rsid w:val="00D81381"/>
    <w:rsid w:val="00D94FF2"/>
    <w:rsid w:val="00DA26A9"/>
    <w:rsid w:val="00DB17E9"/>
    <w:rsid w:val="00DB24BE"/>
    <w:rsid w:val="00DB34E9"/>
    <w:rsid w:val="00DB7E98"/>
    <w:rsid w:val="00DE360B"/>
    <w:rsid w:val="00DF0375"/>
    <w:rsid w:val="00DF202C"/>
    <w:rsid w:val="00DF4057"/>
    <w:rsid w:val="00E01ABB"/>
    <w:rsid w:val="00E036AF"/>
    <w:rsid w:val="00E13010"/>
    <w:rsid w:val="00E176D1"/>
    <w:rsid w:val="00E31D6F"/>
    <w:rsid w:val="00E32B79"/>
    <w:rsid w:val="00E720BE"/>
    <w:rsid w:val="00E85604"/>
    <w:rsid w:val="00E91E30"/>
    <w:rsid w:val="00EA593C"/>
    <w:rsid w:val="00EC04B3"/>
    <w:rsid w:val="00EC213D"/>
    <w:rsid w:val="00EC2A50"/>
    <w:rsid w:val="00EC3E1E"/>
    <w:rsid w:val="00ED3D5E"/>
    <w:rsid w:val="00EF7224"/>
    <w:rsid w:val="00F05B6F"/>
    <w:rsid w:val="00F31BC4"/>
    <w:rsid w:val="00F36CA7"/>
    <w:rsid w:val="00F36D06"/>
    <w:rsid w:val="00F62FC4"/>
    <w:rsid w:val="00F67246"/>
    <w:rsid w:val="00F80F8E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E6A7A"/>
  <w15:docId w15:val="{3DF59167-1D5D-48BD-A526-9E1A1832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F80F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F80F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180240"/>
    <w:pPr>
      <w:tabs>
        <w:tab w:val="center" w:pos="4680"/>
        <w:tab w:val="right" w:pos="9360"/>
      </w:tabs>
      <w:spacing w:after="0" w:line="200" w:lineRule="atLeast"/>
      <w:jc w:val="right"/>
    </w:pPr>
    <w:rPr>
      <w:sz w:val="15"/>
      <w:lang w:eastAsia="sv-SE"/>
    </w:rPr>
  </w:style>
  <w:style w:type="character" w:customStyle="1" w:styleId="SidfotChar">
    <w:name w:val="Sidfot Char"/>
    <w:link w:val="Sidfot"/>
    <w:rsid w:val="00180240"/>
    <w:rPr>
      <w:rFonts w:ascii="Arial" w:hAnsi="Arial" w:cs="Arial"/>
      <w:color w:val="000000"/>
      <w:sz w:val="15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F80F8E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80F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table" w:styleId="Rutntstabell4dekorfrg1">
    <w:name w:val="Grid Table 4 Accent 1"/>
    <w:basedOn w:val="Normaltabell"/>
    <w:uiPriority w:val="49"/>
    <w:rsid w:val="00BC3AFF"/>
    <w:tblPr>
      <w:tblStyleRowBandSize w:val="1"/>
      <w:tblStyleColBandSize w:val="1"/>
      <w:tblBorders>
        <w:top w:val="single" w:sz="4" w:space="0" w:color="BED6E8" w:themeColor="accent1" w:themeTint="99"/>
        <w:left w:val="single" w:sz="4" w:space="0" w:color="BED6E8" w:themeColor="accent1" w:themeTint="99"/>
        <w:bottom w:val="single" w:sz="4" w:space="0" w:color="BED6E8" w:themeColor="accent1" w:themeTint="99"/>
        <w:right w:val="single" w:sz="4" w:space="0" w:color="BED6E8" w:themeColor="accent1" w:themeTint="99"/>
        <w:insideH w:val="single" w:sz="4" w:space="0" w:color="BED6E8" w:themeColor="accent1" w:themeTint="99"/>
        <w:insideV w:val="single" w:sz="4" w:space="0" w:color="BED6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BDA" w:themeColor="accent1"/>
          <w:left w:val="single" w:sz="4" w:space="0" w:color="93BBDA" w:themeColor="accent1"/>
          <w:bottom w:val="single" w:sz="4" w:space="0" w:color="93BBDA" w:themeColor="accent1"/>
          <w:right w:val="single" w:sz="4" w:space="0" w:color="93BBDA" w:themeColor="accent1"/>
          <w:insideH w:val="nil"/>
          <w:insideV w:val="nil"/>
        </w:tcBorders>
        <w:shd w:val="clear" w:color="auto" w:fill="93BBDA" w:themeFill="accent1"/>
      </w:tcPr>
    </w:tblStylePr>
    <w:tblStylePr w:type="lastRow">
      <w:rPr>
        <w:b/>
        <w:bCs/>
      </w:rPr>
      <w:tblPr/>
      <w:tcPr>
        <w:tcBorders>
          <w:top w:val="double" w:sz="4" w:space="0" w:color="93BB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7" w:themeFill="accent1" w:themeFillTint="33"/>
      </w:tcPr>
    </w:tblStylePr>
    <w:tblStylePr w:type="band1Horz">
      <w:tblPr/>
      <w:tcPr>
        <w:shd w:val="clear" w:color="auto" w:fill="E9F1F7" w:themeFill="accen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B34E9"/>
    <w:rPr>
      <w:color w:val="4E8FC2" w:themeColor="accent1" w:themeShade="BF"/>
    </w:rPr>
    <w:tblPr>
      <w:tblStyleRowBandSize w:val="1"/>
      <w:tblStyleColBandSize w:val="1"/>
      <w:tblBorders>
        <w:top w:val="single" w:sz="4" w:space="0" w:color="BED6E8" w:themeColor="accent1" w:themeTint="99"/>
        <w:left w:val="single" w:sz="4" w:space="0" w:color="BED6E8" w:themeColor="accent1" w:themeTint="99"/>
        <w:bottom w:val="single" w:sz="4" w:space="0" w:color="BED6E8" w:themeColor="accent1" w:themeTint="99"/>
        <w:right w:val="single" w:sz="4" w:space="0" w:color="BED6E8" w:themeColor="accent1" w:themeTint="99"/>
        <w:insideH w:val="single" w:sz="4" w:space="0" w:color="BED6E8" w:themeColor="accent1" w:themeTint="99"/>
        <w:insideV w:val="single" w:sz="4" w:space="0" w:color="BED6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7" w:themeFill="accent1" w:themeFillTint="33"/>
      </w:tcPr>
    </w:tblStylePr>
    <w:tblStylePr w:type="band1Horz">
      <w:tblPr/>
      <w:tcPr>
        <w:shd w:val="clear" w:color="auto" w:fill="E9F1F7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B20A-C002-44B7-91B9-FDF22695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41</TotalTime>
  <Pages>4</Pages>
  <Words>226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Lagerin</dc:creator>
  <cp:lastModifiedBy>Antonia Lagerin</cp:lastModifiedBy>
  <cp:revision>8</cp:revision>
  <dcterms:created xsi:type="dcterms:W3CDTF">2021-01-18T12:38:00Z</dcterms:created>
  <dcterms:modified xsi:type="dcterms:W3CDTF">2021-01-18T13:24:00Z</dcterms:modified>
</cp:coreProperties>
</file>